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81C1B1" w14:textId="4EA37379" w:rsidR="00420A38" w:rsidRDefault="00420A38" w:rsidP="001738F7">
      <w:pPr>
        <w:pStyle w:val="Header"/>
        <w:tabs>
          <w:tab w:val="clear" w:pos="9639"/>
          <w:tab w:val="right" w:pos="5954"/>
        </w:tabs>
        <w:jc w:val="right"/>
        <w:rPr>
          <w:rFonts w:ascii="Calibri" w:hAnsi="Calibri"/>
          <w:lang w:eastAsia="ja-JP"/>
        </w:rPr>
      </w:pPr>
      <w:r w:rsidRPr="007A395D">
        <w:rPr>
          <w:rFonts w:ascii="Calibri" w:hAnsi="Calibri"/>
        </w:rPr>
        <w:t>Input paper</w:t>
      </w:r>
      <w:r w:rsidR="00037DF4" w:rsidRPr="007A395D">
        <w:rPr>
          <w:rFonts w:ascii="Calibri" w:hAnsi="Calibri"/>
        </w:rPr>
        <w:t xml:space="preserve">: </w:t>
      </w:r>
      <w:r w:rsidRPr="007A395D">
        <w:rPr>
          <w:rStyle w:val="FootnoteReference"/>
          <w:rFonts w:ascii="Calibri" w:hAnsi="Calibri"/>
          <w:sz w:val="22"/>
          <w:vertAlign w:val="superscript"/>
        </w:rPr>
        <w:footnoteReference w:id="1"/>
      </w:r>
      <w:r w:rsidR="000049D8" w:rsidRPr="007A395D">
        <w:rPr>
          <w:rFonts w:ascii="Calibri" w:hAnsi="Calibri"/>
        </w:rPr>
        <w:t xml:space="preserve">  </w:t>
      </w:r>
      <w:r w:rsidR="007F0CD4">
        <w:rPr>
          <w:rFonts w:ascii="Calibri" w:hAnsi="Calibri"/>
          <w:lang w:eastAsia="ja-JP"/>
        </w:rPr>
        <w:t>PAP37</w:t>
      </w:r>
      <w:r w:rsidR="007F0CD4">
        <w:rPr>
          <w:rFonts w:ascii="Calibri" w:hAnsi="Calibri"/>
        </w:rPr>
        <w:t>-3.3.1.1</w:t>
      </w:r>
    </w:p>
    <w:p w14:paraId="318EB345" w14:textId="77777777" w:rsidR="00BF32F0" w:rsidRPr="007A395D" w:rsidRDefault="00BF32F0" w:rsidP="00F36489">
      <w:pPr>
        <w:pStyle w:val="BodyText"/>
      </w:pPr>
    </w:p>
    <w:p w14:paraId="4A803E59" w14:textId="77777777" w:rsidR="00D019CE" w:rsidRPr="007A395D" w:rsidRDefault="00D019CE" w:rsidP="00F36489">
      <w:pPr>
        <w:pStyle w:val="BodyText"/>
      </w:pPr>
    </w:p>
    <w:p w14:paraId="34E4C5D5" w14:textId="77777777" w:rsidR="0080294B" w:rsidRPr="007A395D" w:rsidRDefault="00E558C3" w:rsidP="00F36489">
      <w:pPr>
        <w:pStyle w:val="BodyText"/>
      </w:pPr>
      <w:r w:rsidRPr="007A395D">
        <w:t xml:space="preserve">Input paper for the following Committee(s): </w:t>
      </w:r>
      <w:r w:rsidRPr="007A395D">
        <w:tab/>
      </w:r>
      <w:r w:rsidRPr="007A395D">
        <w:rPr>
          <w:sz w:val="18"/>
          <w:szCs w:val="18"/>
        </w:rPr>
        <w:t>check as appropriate</w:t>
      </w:r>
      <w:r w:rsidRPr="007A395D">
        <w:rPr>
          <w:sz w:val="18"/>
          <w:szCs w:val="18"/>
        </w:rPr>
        <w:tab/>
      </w:r>
      <w:r w:rsidRPr="007A395D">
        <w:tab/>
        <w:t>Purpose of paper:</w:t>
      </w:r>
    </w:p>
    <w:p w14:paraId="47864CA1" w14:textId="2D4E06BC" w:rsidR="0080294B" w:rsidRPr="007A395D" w:rsidRDefault="007F0CD4" w:rsidP="00F36489">
      <w:pPr>
        <w:pStyle w:val="BodyText"/>
        <w:rPr>
          <w:b/>
        </w:rPr>
      </w:pPr>
      <w:r w:rsidRPr="007A395D">
        <w:rPr>
          <w:b/>
        </w:rPr>
        <w:t>□</w:t>
      </w:r>
      <w:r w:rsidR="0080294B" w:rsidRPr="007A395D">
        <w:t xml:space="preserve">  ARM</w:t>
      </w:r>
      <w:r w:rsidR="00037DF4" w:rsidRPr="007A395D">
        <w:tab/>
      </w:r>
      <w:r w:rsidR="00127DB0">
        <w:tab/>
      </w:r>
      <w:r w:rsidR="00BD57A3" w:rsidRPr="007A395D">
        <w:rPr>
          <w:b/>
        </w:rPr>
        <w:t>□</w:t>
      </w:r>
      <w:r w:rsidR="0080294B" w:rsidRPr="007A395D">
        <w:t xml:space="preserve">  ENG</w:t>
      </w:r>
      <w:r w:rsidR="0080294B" w:rsidRPr="007A395D">
        <w:tab/>
      </w:r>
      <w:r w:rsidR="0080294B" w:rsidRPr="007A395D">
        <w:tab/>
      </w:r>
      <w:r w:rsidR="001738F7">
        <w:rPr>
          <w:rFonts w:hint="eastAsia"/>
          <w:lang w:eastAsia="ja-JP"/>
        </w:rPr>
        <w:t>X</w:t>
      </w:r>
      <w:r w:rsidR="0080294B" w:rsidRPr="007A395D">
        <w:t xml:space="preserve">  PAP</w:t>
      </w:r>
      <w:r w:rsidR="0080294B" w:rsidRPr="007A395D">
        <w:tab/>
      </w:r>
      <w:r w:rsidR="0080294B" w:rsidRPr="007A395D">
        <w:tab/>
      </w:r>
      <w:r w:rsidR="00037DF4" w:rsidRPr="007A395D">
        <w:tab/>
      </w:r>
      <w:r w:rsidR="00037DF4" w:rsidRPr="007A395D">
        <w:tab/>
      </w:r>
      <w:r w:rsidR="00037DF4" w:rsidRPr="007A395D">
        <w:tab/>
      </w:r>
      <w:r w:rsidR="00127DB0">
        <w:tab/>
      </w:r>
      <w:r w:rsidR="001738F7">
        <w:rPr>
          <w:rFonts w:hint="eastAsia"/>
          <w:lang w:eastAsia="ja-JP"/>
        </w:rPr>
        <w:t>X</w:t>
      </w:r>
      <w:r w:rsidR="0080294B" w:rsidRPr="007A395D">
        <w:t xml:space="preserve">  Input</w:t>
      </w:r>
    </w:p>
    <w:p w14:paraId="06368493" w14:textId="4A733FAB" w:rsidR="0080294B" w:rsidRPr="007A395D" w:rsidRDefault="007F0CD4" w:rsidP="00F36489">
      <w:pPr>
        <w:pStyle w:val="BodyText"/>
      </w:pPr>
      <w:r w:rsidRPr="007A395D">
        <w:rPr>
          <w:b/>
        </w:rPr>
        <w:t>□</w:t>
      </w:r>
      <w:r w:rsidR="0080294B" w:rsidRPr="007A395D">
        <w:t xml:space="preserve">  ENAV</w:t>
      </w:r>
      <w:r w:rsidR="001738F7">
        <w:rPr>
          <w:rFonts w:hint="eastAsia"/>
          <w:lang w:eastAsia="ja-JP"/>
        </w:rPr>
        <w:tab/>
      </w:r>
      <w:r w:rsidR="0080294B" w:rsidRPr="007A395D">
        <w:rPr>
          <w:b/>
        </w:rPr>
        <w:t>□</w:t>
      </w:r>
      <w:r w:rsidR="0080294B" w:rsidRPr="007A395D">
        <w:t xml:space="preserve">  </w:t>
      </w:r>
      <w:r w:rsidR="003D2DC1" w:rsidRPr="007A395D">
        <w:t>VTS</w:t>
      </w:r>
      <w:r w:rsidR="0080294B" w:rsidRPr="007A395D">
        <w:tab/>
      </w:r>
      <w:r w:rsidR="0080294B" w:rsidRPr="007A395D">
        <w:tab/>
      </w:r>
      <w:r w:rsidR="0080294B" w:rsidRPr="007A395D">
        <w:tab/>
      </w:r>
      <w:r w:rsidR="0080294B" w:rsidRPr="007A395D">
        <w:tab/>
      </w:r>
      <w:r w:rsidR="0080294B" w:rsidRPr="007A395D">
        <w:tab/>
      </w:r>
      <w:r w:rsidR="00037DF4" w:rsidRPr="007A395D">
        <w:tab/>
      </w:r>
      <w:r w:rsidR="00037DF4" w:rsidRPr="007A395D">
        <w:tab/>
      </w:r>
      <w:r w:rsidR="00127DB0">
        <w:tab/>
      </w:r>
      <w:r w:rsidR="0080294B" w:rsidRPr="007A395D">
        <w:rPr>
          <w:b/>
        </w:rPr>
        <w:t>□</w:t>
      </w:r>
      <w:r w:rsidR="0080294B" w:rsidRPr="007A395D">
        <w:t xml:space="preserve">  Information</w:t>
      </w:r>
    </w:p>
    <w:p w14:paraId="7488A4D6" w14:textId="77777777" w:rsidR="0080294B" w:rsidRPr="007A395D" w:rsidRDefault="0080294B" w:rsidP="00F36489">
      <w:pPr>
        <w:pStyle w:val="BodyText"/>
      </w:pPr>
    </w:p>
    <w:p w14:paraId="392890BE" w14:textId="7604D351" w:rsidR="00A446C9" w:rsidRPr="007A395D" w:rsidRDefault="00A446C9" w:rsidP="00F36489">
      <w:pPr>
        <w:pStyle w:val="BodyText"/>
      </w:pPr>
      <w:r w:rsidRPr="007A395D">
        <w:t>Agenda item</w:t>
      </w:r>
      <w:r w:rsidR="00037DF4" w:rsidRPr="007A395D">
        <w:t xml:space="preserve"> </w:t>
      </w:r>
      <w:r w:rsidR="00037DF4" w:rsidRPr="007A395D">
        <w:rPr>
          <w:rStyle w:val="FootnoteReference"/>
          <w:rFonts w:ascii="Calibri" w:hAnsi="Calibri"/>
          <w:sz w:val="22"/>
          <w:vertAlign w:val="superscript"/>
        </w:rPr>
        <w:footnoteReference w:id="2"/>
      </w:r>
      <w:r w:rsidR="001C44A3" w:rsidRPr="007A395D">
        <w:tab/>
      </w:r>
      <w:r w:rsidR="00CC2DCC">
        <w:t>(from agenda)</w:t>
      </w:r>
      <w:r w:rsidR="00CC2DCC">
        <w:tab/>
      </w:r>
      <w:r w:rsidR="0080294B" w:rsidRPr="007A395D">
        <w:tab/>
      </w:r>
      <w:r w:rsidR="0080294B" w:rsidRPr="007A395D">
        <w:tab/>
      </w:r>
      <w:r w:rsidR="007F0CD4">
        <w:t>3.3.1</w:t>
      </w:r>
    </w:p>
    <w:p w14:paraId="2EB6DFF2" w14:textId="350D0F6D" w:rsidR="00362CD9" w:rsidRPr="007A395D" w:rsidRDefault="00362CD9" w:rsidP="00F36489">
      <w:pPr>
        <w:pStyle w:val="BodyText"/>
        <w:rPr>
          <w:color w:val="FF0000"/>
          <w:lang w:eastAsia="ja-JP"/>
        </w:rPr>
      </w:pPr>
      <w:r w:rsidRPr="007A395D">
        <w:t>Author(s)</w:t>
      </w:r>
      <w:r w:rsidR="00FE5674" w:rsidRPr="007A395D">
        <w:t xml:space="preserve"> / Submitter(s)</w:t>
      </w:r>
      <w:r w:rsidRPr="007A395D">
        <w:tab/>
      </w:r>
      <w:r w:rsidR="0080294B" w:rsidRPr="007A395D">
        <w:tab/>
      </w:r>
      <w:r w:rsidR="0080294B" w:rsidRPr="007A395D">
        <w:tab/>
      </w:r>
      <w:r w:rsidR="00677FAA">
        <w:tab/>
      </w:r>
      <w:r w:rsidR="001738F7">
        <w:rPr>
          <w:rFonts w:hint="eastAsia"/>
          <w:lang w:eastAsia="ja-JP"/>
        </w:rPr>
        <w:t>ENAV</w:t>
      </w:r>
    </w:p>
    <w:p w14:paraId="38BA11D8" w14:textId="77777777" w:rsidR="0080294B" w:rsidRPr="007A395D" w:rsidRDefault="0080294B" w:rsidP="00F36489">
      <w:pPr>
        <w:pStyle w:val="BodyText"/>
      </w:pPr>
    </w:p>
    <w:p w14:paraId="554B5785" w14:textId="77777777" w:rsidR="00A446C9" w:rsidRPr="001738F7" w:rsidRDefault="00BD57A3" w:rsidP="00F36489">
      <w:pPr>
        <w:pStyle w:val="Title"/>
        <w:rPr>
          <w:caps/>
          <w:color w:val="00558C"/>
          <w:lang w:eastAsia="ja-JP"/>
        </w:rPr>
      </w:pPr>
      <w:r>
        <w:rPr>
          <w:rFonts w:hint="eastAsia"/>
          <w:caps/>
          <w:color w:val="00558C"/>
          <w:lang w:eastAsia="ja-JP"/>
        </w:rPr>
        <w:t>MAton and A</w:t>
      </w:r>
      <w:bookmarkStart w:id="0" w:name="_GoBack"/>
      <w:bookmarkEnd w:id="0"/>
      <w:r>
        <w:rPr>
          <w:rFonts w:hint="eastAsia"/>
          <w:caps/>
          <w:color w:val="00558C"/>
          <w:lang w:eastAsia="ja-JP"/>
        </w:rPr>
        <w:t>MRD</w:t>
      </w:r>
    </w:p>
    <w:p w14:paraId="4669712B" w14:textId="77777777" w:rsidR="00A446C9" w:rsidRPr="004D4B1B" w:rsidRDefault="00A446C9" w:rsidP="009B5263">
      <w:pPr>
        <w:pStyle w:val="Heading1"/>
      </w:pPr>
      <w:r w:rsidRPr="009B5263">
        <w:t>Summary</w:t>
      </w:r>
    </w:p>
    <w:p w14:paraId="56274F05" w14:textId="77777777" w:rsidR="00B56BDF" w:rsidRPr="007A395D" w:rsidRDefault="00557AFE" w:rsidP="00F36489">
      <w:pPr>
        <w:pStyle w:val="BodyText"/>
        <w:rPr>
          <w:lang w:eastAsia="ja-JP"/>
        </w:rPr>
      </w:pPr>
      <w:r>
        <w:rPr>
          <w:lang w:eastAsia="ja-JP"/>
        </w:rPr>
        <w:t>A</w:t>
      </w:r>
      <w:r>
        <w:rPr>
          <w:rFonts w:hint="eastAsia"/>
          <w:lang w:eastAsia="ja-JP"/>
        </w:rPr>
        <w:t xml:space="preserve">t its sixth session </w:t>
      </w:r>
      <w:r>
        <w:rPr>
          <w:lang w:eastAsia="ja-JP"/>
        </w:rPr>
        <w:t xml:space="preserve">the </w:t>
      </w:r>
      <w:r w:rsidR="001738F7">
        <w:rPr>
          <w:rFonts w:hint="eastAsia"/>
          <w:lang w:eastAsia="ja-JP"/>
        </w:rPr>
        <w:t xml:space="preserve">IMO NCSR Sub-Committee, considered </w:t>
      </w:r>
      <w:r w:rsidR="00BD57A3">
        <w:rPr>
          <w:rFonts w:hint="eastAsia"/>
          <w:lang w:eastAsia="ja-JP"/>
        </w:rPr>
        <w:t>liaison paper</w:t>
      </w:r>
      <w:r w:rsidR="00530E5B">
        <w:rPr>
          <w:lang w:eastAsia="ja-JP"/>
        </w:rPr>
        <w:t>s</w:t>
      </w:r>
      <w:r w:rsidR="00BD57A3">
        <w:rPr>
          <w:rFonts w:hint="eastAsia"/>
          <w:lang w:eastAsia="ja-JP"/>
        </w:rPr>
        <w:t xml:space="preserve"> from both IALA (NCSR 6/12/5) and ITU-R WP5B (NCSR 6/12/9) on Mobile Aids to Navigation (</w:t>
      </w:r>
      <w:proofErr w:type="spellStart"/>
      <w:r w:rsidR="00BD57A3">
        <w:rPr>
          <w:rFonts w:hint="eastAsia"/>
          <w:lang w:eastAsia="ja-JP"/>
        </w:rPr>
        <w:t>MAtoN</w:t>
      </w:r>
      <w:proofErr w:type="spellEnd"/>
      <w:r w:rsidR="00BD57A3">
        <w:rPr>
          <w:rFonts w:hint="eastAsia"/>
          <w:lang w:eastAsia="ja-JP"/>
        </w:rPr>
        <w:t xml:space="preserve">) and Autonomous Maritime Radio Device (AMRD) and developed the </w:t>
      </w:r>
      <w:r w:rsidR="00BD57A3">
        <w:rPr>
          <w:lang w:eastAsia="ja-JP"/>
        </w:rPr>
        <w:t>liaison</w:t>
      </w:r>
      <w:r w:rsidR="00BD57A3">
        <w:rPr>
          <w:rFonts w:hint="eastAsia"/>
          <w:lang w:eastAsia="ja-JP"/>
        </w:rPr>
        <w:t xml:space="preserve"> paper informing ITU-R </w:t>
      </w:r>
      <w:r w:rsidR="00BD57A3" w:rsidRPr="00DC501E">
        <w:rPr>
          <w:rFonts w:hint="eastAsia"/>
          <w:lang w:eastAsia="ja-JP"/>
        </w:rPr>
        <w:t xml:space="preserve">WP5B </w:t>
      </w:r>
      <w:r w:rsidR="00DC501E" w:rsidRPr="00DC501E">
        <w:rPr>
          <w:lang w:eastAsia="ja-JP"/>
        </w:rPr>
        <w:t>(</w:t>
      </w:r>
      <w:r w:rsidR="00DC501E" w:rsidRPr="00DC501E">
        <w:rPr>
          <w:rFonts w:hint="eastAsia"/>
          <w:lang w:eastAsia="ja-JP"/>
        </w:rPr>
        <w:t>NCSR 6/WP5</w:t>
      </w:r>
      <w:r w:rsidR="00DC501E" w:rsidRPr="00DC501E">
        <w:rPr>
          <w:lang w:eastAsia="ja-JP"/>
        </w:rPr>
        <w:t>)</w:t>
      </w:r>
      <w:r w:rsidR="00DC501E">
        <w:rPr>
          <w:lang w:eastAsia="ja-JP"/>
        </w:rPr>
        <w:t xml:space="preserve"> </w:t>
      </w:r>
      <w:r w:rsidR="00BD57A3" w:rsidRPr="00DC501E">
        <w:rPr>
          <w:rFonts w:hint="eastAsia"/>
          <w:lang w:eastAsia="ja-JP"/>
        </w:rPr>
        <w:t>of</w:t>
      </w:r>
      <w:r w:rsidR="00BD57A3">
        <w:rPr>
          <w:rFonts w:hint="eastAsia"/>
          <w:lang w:eastAsia="ja-JP"/>
        </w:rPr>
        <w:t xml:space="preserve"> its view</w:t>
      </w:r>
      <w:r w:rsidR="00C86984">
        <w:rPr>
          <w:rFonts w:cs="Arial" w:hint="eastAsia"/>
          <w:lang w:val="en-US" w:eastAsia="ja-JP"/>
        </w:rPr>
        <w:t>.</w:t>
      </w:r>
    </w:p>
    <w:p w14:paraId="3D0F48D6" w14:textId="77777777" w:rsidR="001C44A3" w:rsidRPr="00605E43" w:rsidRDefault="00BD4E6F" w:rsidP="00605E43">
      <w:pPr>
        <w:pStyle w:val="Heading2"/>
      </w:pPr>
      <w:r w:rsidRPr="00605E43">
        <w:t>Purpose</w:t>
      </w:r>
      <w:r w:rsidR="004D1D85" w:rsidRPr="00605E43">
        <w:t xml:space="preserve"> of the document</w:t>
      </w:r>
    </w:p>
    <w:p w14:paraId="0E6A014D" w14:textId="77777777" w:rsidR="00E55927" w:rsidRPr="007A395D" w:rsidRDefault="00557AFE" w:rsidP="00F36489">
      <w:pPr>
        <w:pStyle w:val="BodyText"/>
        <w:rPr>
          <w:lang w:eastAsia="ja-JP"/>
        </w:rPr>
      </w:pPr>
      <w:r>
        <w:rPr>
          <w:lang w:eastAsia="ja-JP"/>
        </w:rPr>
        <w:t>This input</w:t>
      </w:r>
      <w:r w:rsidR="00C86984">
        <w:rPr>
          <w:rFonts w:hint="eastAsia"/>
          <w:lang w:eastAsia="ja-JP"/>
        </w:rPr>
        <w:t xml:space="preserve"> document inform</w:t>
      </w:r>
      <w:r>
        <w:rPr>
          <w:lang w:eastAsia="ja-JP"/>
        </w:rPr>
        <w:t>s</w:t>
      </w:r>
      <w:r w:rsidR="00C86984">
        <w:rPr>
          <w:rFonts w:hint="eastAsia"/>
          <w:lang w:eastAsia="ja-JP"/>
        </w:rPr>
        <w:t xml:space="preserve"> </w:t>
      </w:r>
      <w:r w:rsidR="0040010A">
        <w:rPr>
          <w:lang w:eastAsia="ja-JP"/>
        </w:rPr>
        <w:t xml:space="preserve">the </w:t>
      </w:r>
      <w:r w:rsidR="00C86984">
        <w:rPr>
          <w:rFonts w:hint="eastAsia"/>
          <w:lang w:eastAsia="ja-JP"/>
        </w:rPr>
        <w:t xml:space="preserve">PAP, </w:t>
      </w:r>
      <w:r w:rsidR="007B6EC9">
        <w:rPr>
          <w:rFonts w:hint="eastAsia"/>
          <w:lang w:eastAsia="ja-JP"/>
        </w:rPr>
        <w:t>ARM</w:t>
      </w:r>
      <w:r w:rsidR="00C86984">
        <w:rPr>
          <w:rFonts w:hint="eastAsia"/>
          <w:lang w:eastAsia="ja-JP"/>
        </w:rPr>
        <w:t xml:space="preserve"> and EN</w:t>
      </w:r>
      <w:r w:rsidR="007B6EC9">
        <w:rPr>
          <w:rFonts w:hint="eastAsia"/>
          <w:lang w:eastAsia="ja-JP"/>
        </w:rPr>
        <w:t>A</w:t>
      </w:r>
      <w:r w:rsidR="00C86984">
        <w:rPr>
          <w:rFonts w:hint="eastAsia"/>
          <w:lang w:eastAsia="ja-JP"/>
        </w:rPr>
        <w:t xml:space="preserve">V </w:t>
      </w:r>
      <w:r w:rsidR="0040010A">
        <w:rPr>
          <w:lang w:eastAsia="ja-JP"/>
        </w:rPr>
        <w:t xml:space="preserve">Committees </w:t>
      </w:r>
      <w:r w:rsidR="00C86984">
        <w:rPr>
          <w:rFonts w:hint="eastAsia"/>
          <w:lang w:eastAsia="ja-JP"/>
        </w:rPr>
        <w:t>of the discussion</w:t>
      </w:r>
      <w:r>
        <w:rPr>
          <w:lang w:eastAsia="ja-JP"/>
        </w:rPr>
        <w:t>s</w:t>
      </w:r>
      <w:r w:rsidR="00C86984">
        <w:rPr>
          <w:rFonts w:hint="eastAsia"/>
          <w:lang w:eastAsia="ja-JP"/>
        </w:rPr>
        <w:t xml:space="preserve"> at NCSR 6 and </w:t>
      </w:r>
      <w:r>
        <w:rPr>
          <w:lang w:eastAsia="ja-JP"/>
        </w:rPr>
        <w:t>asks th</w:t>
      </w:r>
      <w:r w:rsidR="0040010A">
        <w:rPr>
          <w:lang w:eastAsia="ja-JP"/>
        </w:rPr>
        <w:t>em t</w:t>
      </w:r>
      <w:r w:rsidR="00C86984">
        <w:rPr>
          <w:rFonts w:hint="eastAsia"/>
          <w:lang w:eastAsia="ja-JP"/>
        </w:rPr>
        <w:t xml:space="preserve">o consider </w:t>
      </w:r>
      <w:r w:rsidR="000C1EDA">
        <w:rPr>
          <w:rFonts w:hint="eastAsia"/>
          <w:lang w:eastAsia="ja-JP"/>
        </w:rPr>
        <w:t>convey</w:t>
      </w:r>
      <w:r w:rsidR="000C1EDA">
        <w:rPr>
          <w:lang w:eastAsia="ja-JP"/>
        </w:rPr>
        <w:t>ing</w:t>
      </w:r>
      <w:r w:rsidR="000C1EDA">
        <w:rPr>
          <w:rFonts w:hint="eastAsia"/>
          <w:lang w:eastAsia="ja-JP"/>
        </w:rPr>
        <w:t xml:space="preserve"> IALA</w:t>
      </w:r>
      <w:r w:rsidR="000C1EDA">
        <w:rPr>
          <w:lang w:eastAsia="ja-JP"/>
        </w:rPr>
        <w:t>’</w:t>
      </w:r>
      <w:r w:rsidR="000C1EDA">
        <w:rPr>
          <w:rFonts w:hint="eastAsia"/>
          <w:lang w:eastAsia="ja-JP"/>
        </w:rPr>
        <w:t>s concern and view</w:t>
      </w:r>
      <w:r w:rsidR="000C1EDA">
        <w:rPr>
          <w:lang w:eastAsia="ja-JP"/>
        </w:rPr>
        <w:t>s</w:t>
      </w:r>
      <w:r w:rsidR="000C1EDA">
        <w:rPr>
          <w:rFonts w:hint="eastAsia"/>
          <w:lang w:eastAsia="ja-JP"/>
        </w:rPr>
        <w:t xml:space="preserve"> on this matter </w:t>
      </w:r>
      <w:r w:rsidR="007B6EC9">
        <w:rPr>
          <w:rFonts w:hint="eastAsia"/>
          <w:lang w:eastAsia="ja-JP"/>
        </w:rPr>
        <w:t>to ITU-R WP5B</w:t>
      </w:r>
      <w:r w:rsidR="00C86984">
        <w:rPr>
          <w:rFonts w:hint="eastAsia"/>
          <w:lang w:eastAsia="ja-JP"/>
        </w:rPr>
        <w:t>.</w:t>
      </w:r>
    </w:p>
    <w:p w14:paraId="13C0AC5C" w14:textId="77777777" w:rsidR="00B56BDF" w:rsidRPr="007A395D" w:rsidRDefault="00B56BDF" w:rsidP="00605E43">
      <w:pPr>
        <w:pStyle w:val="Heading2"/>
      </w:pPr>
      <w:r w:rsidRPr="007A395D">
        <w:t>Related documents</w:t>
      </w:r>
    </w:p>
    <w:p w14:paraId="61A1008A" w14:textId="77777777" w:rsidR="00E55927" w:rsidRPr="00F36489" w:rsidRDefault="00603D41" w:rsidP="00F36489">
      <w:pPr>
        <w:pStyle w:val="BodyText"/>
        <w:rPr>
          <w:lang w:eastAsia="ja-JP"/>
        </w:rPr>
      </w:pPr>
      <w:r>
        <w:rPr>
          <w:rFonts w:hint="eastAsia"/>
          <w:lang w:eastAsia="ja-JP"/>
        </w:rPr>
        <w:t>NCSR 6/12</w:t>
      </w:r>
      <w:r w:rsidR="007B6EC9">
        <w:rPr>
          <w:rFonts w:hint="eastAsia"/>
          <w:lang w:eastAsia="ja-JP"/>
        </w:rPr>
        <w:t>/5</w:t>
      </w:r>
      <w:r>
        <w:rPr>
          <w:rFonts w:hint="eastAsia"/>
          <w:lang w:eastAsia="ja-JP"/>
        </w:rPr>
        <w:t>, NCSR 6/12/</w:t>
      </w:r>
      <w:r w:rsidR="007B6EC9">
        <w:rPr>
          <w:rFonts w:hint="eastAsia"/>
          <w:lang w:eastAsia="ja-JP"/>
        </w:rPr>
        <w:t>9</w:t>
      </w:r>
      <w:r w:rsidR="00A4725E">
        <w:rPr>
          <w:rFonts w:hint="eastAsia"/>
          <w:lang w:eastAsia="ja-JP"/>
        </w:rPr>
        <w:t xml:space="preserve">, </w:t>
      </w:r>
      <w:r w:rsidR="00A4725E" w:rsidRPr="00DC501E">
        <w:rPr>
          <w:rFonts w:hint="eastAsia"/>
          <w:lang w:eastAsia="ja-JP"/>
        </w:rPr>
        <w:t>NCSR 6/WP5</w:t>
      </w:r>
    </w:p>
    <w:p w14:paraId="789E9408" w14:textId="77777777" w:rsidR="00A446C9" w:rsidRPr="007A395D" w:rsidRDefault="00A446C9" w:rsidP="00605E43">
      <w:pPr>
        <w:pStyle w:val="Heading1"/>
      </w:pPr>
      <w:r w:rsidRPr="007A395D">
        <w:t>Background</w:t>
      </w:r>
    </w:p>
    <w:p w14:paraId="76A1F84E" w14:textId="6DA098A2" w:rsidR="007B6EC9" w:rsidRDefault="00D1390D" w:rsidP="003577DE">
      <w:pPr>
        <w:pStyle w:val="BodyText"/>
        <w:rPr>
          <w:lang w:eastAsia="ja-JP"/>
        </w:rPr>
      </w:pPr>
      <w:r>
        <w:rPr>
          <w:rFonts w:hint="eastAsia"/>
          <w:lang w:eastAsia="ja-JP"/>
        </w:rPr>
        <w:t xml:space="preserve">IALA had developed the concept of </w:t>
      </w:r>
      <w:proofErr w:type="spellStart"/>
      <w:r>
        <w:rPr>
          <w:rFonts w:hint="eastAsia"/>
          <w:lang w:eastAsia="ja-JP"/>
        </w:rPr>
        <w:t>MAtoN</w:t>
      </w:r>
      <w:proofErr w:type="spellEnd"/>
      <w:r>
        <w:rPr>
          <w:rFonts w:hint="eastAsia"/>
          <w:lang w:eastAsia="ja-JP"/>
        </w:rPr>
        <w:t xml:space="preserve"> </w:t>
      </w:r>
      <w:r w:rsidR="00530E5B">
        <w:rPr>
          <w:lang w:eastAsia="ja-JP"/>
        </w:rPr>
        <w:t xml:space="preserve">by issuing </w:t>
      </w:r>
      <w:r w:rsidR="00530E5B">
        <w:rPr>
          <w:rFonts w:hint="eastAsia"/>
          <w:lang w:eastAsia="ja-JP"/>
        </w:rPr>
        <w:t>IALA Recommendation R-1016 in 2018</w:t>
      </w:r>
      <w:r w:rsidR="00530E5B">
        <w:rPr>
          <w:lang w:eastAsia="ja-JP"/>
        </w:rPr>
        <w:t xml:space="preserve"> that took into</w:t>
      </w:r>
      <w:r>
        <w:rPr>
          <w:rFonts w:hint="eastAsia"/>
          <w:lang w:eastAsia="ja-JP"/>
        </w:rPr>
        <w:t xml:space="preserve"> account new obligation</w:t>
      </w:r>
      <w:r w:rsidR="00B5785C">
        <w:rPr>
          <w:lang w:eastAsia="ja-JP"/>
        </w:rPr>
        <w:t>s</w:t>
      </w:r>
      <w:r w:rsidR="00356954">
        <w:rPr>
          <w:lang w:eastAsia="ja-JP"/>
        </w:rPr>
        <w:t xml:space="preserve"> </w:t>
      </w:r>
      <w:r w:rsidR="00356954">
        <w:rPr>
          <w:rFonts w:hint="eastAsia"/>
          <w:lang w:eastAsia="ja-JP"/>
        </w:rPr>
        <w:t xml:space="preserve">imposed by the Nairobi </w:t>
      </w:r>
      <w:r w:rsidR="00356954">
        <w:rPr>
          <w:lang w:eastAsia="ja-JP"/>
        </w:rPr>
        <w:t>I</w:t>
      </w:r>
      <w:r w:rsidR="00356954">
        <w:rPr>
          <w:rFonts w:hint="eastAsia"/>
          <w:lang w:eastAsia="ja-JP"/>
        </w:rPr>
        <w:t xml:space="preserve">nternational </w:t>
      </w:r>
      <w:r w:rsidR="00356954">
        <w:rPr>
          <w:lang w:eastAsia="ja-JP"/>
        </w:rPr>
        <w:t>C</w:t>
      </w:r>
      <w:r w:rsidR="00356954">
        <w:rPr>
          <w:rFonts w:hint="eastAsia"/>
          <w:lang w:eastAsia="ja-JP"/>
        </w:rPr>
        <w:t>onvention</w:t>
      </w:r>
      <w:r w:rsidR="00356954">
        <w:rPr>
          <w:lang w:eastAsia="ja-JP"/>
        </w:rPr>
        <w:t xml:space="preserve"> </w:t>
      </w:r>
      <w:r w:rsidR="00B5785C">
        <w:rPr>
          <w:lang w:eastAsia="ja-JP"/>
        </w:rPr>
        <w:t>for</w:t>
      </w:r>
      <w:r>
        <w:rPr>
          <w:rFonts w:hint="eastAsia"/>
          <w:lang w:eastAsia="ja-JP"/>
        </w:rPr>
        <w:t xml:space="preserve"> </w:t>
      </w:r>
      <w:r w:rsidR="00C4319D">
        <w:rPr>
          <w:lang w:eastAsia="ja-JP"/>
        </w:rPr>
        <w:t>removal of wrecks</w:t>
      </w:r>
      <w:r w:rsidR="003577DE">
        <w:rPr>
          <w:rFonts w:hint="eastAsia"/>
          <w:lang w:eastAsia="ja-JP"/>
        </w:rPr>
        <w:t xml:space="preserve">.  </w:t>
      </w:r>
      <w:r w:rsidR="003577DE">
        <w:rPr>
          <w:lang w:eastAsia="ja-JP"/>
        </w:rPr>
        <w:t>I</w:t>
      </w:r>
      <w:r w:rsidR="003577DE">
        <w:rPr>
          <w:rFonts w:hint="eastAsia"/>
          <w:lang w:eastAsia="ja-JP"/>
        </w:rPr>
        <w:t>n parallel with this movement, ITU-R WP5</w:t>
      </w:r>
      <w:r w:rsidR="00880CD5">
        <w:rPr>
          <w:rFonts w:hint="eastAsia"/>
          <w:lang w:eastAsia="ja-JP"/>
        </w:rPr>
        <w:t>B</w:t>
      </w:r>
      <w:r w:rsidR="003577DE">
        <w:rPr>
          <w:rFonts w:hint="eastAsia"/>
          <w:lang w:eastAsia="ja-JP"/>
        </w:rPr>
        <w:t xml:space="preserve"> has also </w:t>
      </w:r>
      <w:r w:rsidR="003577DE">
        <w:rPr>
          <w:lang w:eastAsia="ja-JP"/>
        </w:rPr>
        <w:t>developed</w:t>
      </w:r>
      <w:r w:rsidR="003577DE">
        <w:rPr>
          <w:rFonts w:hint="eastAsia"/>
          <w:lang w:eastAsia="ja-JP"/>
        </w:rPr>
        <w:t xml:space="preserve"> the concept of AMRD taking</w:t>
      </w:r>
      <w:r w:rsidR="00C4319D">
        <w:rPr>
          <w:lang w:eastAsia="ja-JP"/>
        </w:rPr>
        <w:t xml:space="preserve"> into</w:t>
      </w:r>
      <w:r w:rsidR="003577DE">
        <w:rPr>
          <w:rFonts w:hint="eastAsia"/>
          <w:lang w:eastAsia="ja-JP"/>
        </w:rPr>
        <w:t xml:space="preserve"> account request</w:t>
      </w:r>
      <w:r w:rsidR="00530E5B">
        <w:rPr>
          <w:lang w:eastAsia="ja-JP"/>
        </w:rPr>
        <w:t>s</w:t>
      </w:r>
      <w:r w:rsidR="003577DE">
        <w:rPr>
          <w:rFonts w:hint="eastAsia"/>
          <w:lang w:eastAsia="ja-JP"/>
        </w:rPr>
        <w:t xml:space="preserve"> from</w:t>
      </w:r>
      <w:r w:rsidR="00530E5B">
        <w:rPr>
          <w:lang w:eastAsia="ja-JP"/>
        </w:rPr>
        <w:t xml:space="preserve"> the</w:t>
      </w:r>
      <w:r w:rsidR="003577DE">
        <w:rPr>
          <w:rFonts w:hint="eastAsia"/>
          <w:lang w:eastAsia="ja-JP"/>
        </w:rPr>
        <w:t xml:space="preserve"> maritime community that </w:t>
      </w:r>
      <w:r w:rsidR="00530E5B">
        <w:rPr>
          <w:lang w:eastAsia="ja-JP"/>
        </w:rPr>
        <w:t>require</w:t>
      </w:r>
      <w:r w:rsidR="00C4319D">
        <w:rPr>
          <w:lang w:eastAsia="ja-JP"/>
        </w:rPr>
        <w:t>d</w:t>
      </w:r>
      <w:r w:rsidR="003577DE">
        <w:rPr>
          <w:rFonts w:hint="eastAsia"/>
          <w:lang w:eastAsia="ja-JP"/>
        </w:rPr>
        <w:t xml:space="preserve"> new radio device</w:t>
      </w:r>
      <w:r w:rsidR="00530E5B">
        <w:rPr>
          <w:lang w:eastAsia="ja-JP"/>
        </w:rPr>
        <w:t>s that utilise</w:t>
      </w:r>
      <w:r w:rsidR="003577DE">
        <w:rPr>
          <w:rFonts w:hint="eastAsia"/>
          <w:lang w:eastAsia="ja-JP"/>
        </w:rPr>
        <w:t xml:space="preserve"> AIS </w:t>
      </w:r>
      <w:r w:rsidR="000650CD">
        <w:rPr>
          <w:rFonts w:hint="eastAsia"/>
          <w:lang w:eastAsia="ja-JP"/>
        </w:rPr>
        <w:t>or</w:t>
      </w:r>
      <w:r w:rsidR="00C4319D">
        <w:rPr>
          <w:lang w:eastAsia="ja-JP"/>
        </w:rPr>
        <w:t xml:space="preserve"> </w:t>
      </w:r>
      <w:r w:rsidR="000650CD">
        <w:rPr>
          <w:rFonts w:hint="eastAsia"/>
          <w:lang w:eastAsia="ja-JP"/>
        </w:rPr>
        <w:t xml:space="preserve">DSC </w:t>
      </w:r>
      <w:r w:rsidR="003577DE">
        <w:rPr>
          <w:rFonts w:hint="eastAsia"/>
          <w:lang w:eastAsia="ja-JP"/>
        </w:rPr>
        <w:t xml:space="preserve">technology to mark </w:t>
      </w:r>
      <w:r w:rsidR="000C67BA">
        <w:rPr>
          <w:lang w:eastAsia="ja-JP"/>
        </w:rPr>
        <w:t xml:space="preserve">moving </w:t>
      </w:r>
      <w:r w:rsidR="00880CD5">
        <w:rPr>
          <w:rFonts w:hint="eastAsia"/>
          <w:lang w:eastAsia="ja-JP"/>
        </w:rPr>
        <w:t xml:space="preserve">or drifting </w:t>
      </w:r>
      <w:r w:rsidR="000C67BA">
        <w:rPr>
          <w:lang w:eastAsia="ja-JP"/>
        </w:rPr>
        <w:t>objects at</w:t>
      </w:r>
      <w:r w:rsidR="000C67BA">
        <w:rPr>
          <w:rFonts w:hint="eastAsia"/>
          <w:lang w:eastAsia="ja-JP"/>
        </w:rPr>
        <w:t xml:space="preserve"> </w:t>
      </w:r>
      <w:r w:rsidR="00880CD5">
        <w:rPr>
          <w:rFonts w:hint="eastAsia"/>
          <w:lang w:eastAsia="ja-JP"/>
        </w:rPr>
        <w:t>sea.</w:t>
      </w:r>
      <w:r w:rsidR="00A24AA5">
        <w:rPr>
          <w:rFonts w:hint="eastAsia"/>
          <w:lang w:eastAsia="ja-JP"/>
        </w:rPr>
        <w:t xml:space="preserve">  There are 2 categories of AMRD, Group A enhances the safety of navigation and Group B does not enhance the safety of navigation.</w:t>
      </w:r>
    </w:p>
    <w:p w14:paraId="3EBFBCDA" w14:textId="77777777" w:rsidR="00880CD5" w:rsidRDefault="00880CD5" w:rsidP="003577DE">
      <w:pPr>
        <w:pStyle w:val="BodyText"/>
        <w:rPr>
          <w:lang w:eastAsia="ja-JP"/>
        </w:rPr>
      </w:pPr>
      <w:r>
        <w:rPr>
          <w:rFonts w:hint="eastAsia"/>
          <w:lang w:eastAsia="ja-JP"/>
        </w:rPr>
        <w:t xml:space="preserve">Following liaison between IALA and ITU-R WP5B, IALA considered </w:t>
      </w:r>
      <w:proofErr w:type="spellStart"/>
      <w:r>
        <w:rPr>
          <w:rFonts w:hint="eastAsia"/>
          <w:lang w:eastAsia="ja-JP"/>
        </w:rPr>
        <w:t>MAtoN</w:t>
      </w:r>
      <w:proofErr w:type="spellEnd"/>
      <w:r>
        <w:rPr>
          <w:rFonts w:hint="eastAsia"/>
          <w:lang w:eastAsia="ja-JP"/>
        </w:rPr>
        <w:t xml:space="preserve"> </w:t>
      </w:r>
      <w:r w:rsidR="00530E5B">
        <w:rPr>
          <w:lang w:eastAsia="ja-JP"/>
        </w:rPr>
        <w:t>as a</w:t>
      </w:r>
      <w:r>
        <w:rPr>
          <w:rFonts w:hint="eastAsia"/>
          <w:lang w:eastAsia="ja-JP"/>
        </w:rPr>
        <w:t xml:space="preserve"> part of </w:t>
      </w:r>
      <w:proofErr w:type="spellStart"/>
      <w:r>
        <w:rPr>
          <w:rFonts w:hint="eastAsia"/>
          <w:lang w:eastAsia="ja-JP"/>
        </w:rPr>
        <w:t>AtoN</w:t>
      </w:r>
      <w:proofErr w:type="spellEnd"/>
      <w:r>
        <w:rPr>
          <w:rFonts w:hint="eastAsia"/>
          <w:lang w:eastAsia="ja-JP"/>
        </w:rPr>
        <w:t xml:space="preserve"> but not classified as AMRD</w:t>
      </w:r>
      <w:r w:rsidR="00A24AA5">
        <w:rPr>
          <w:rFonts w:hint="eastAsia"/>
          <w:lang w:eastAsia="ja-JP"/>
        </w:rPr>
        <w:t xml:space="preserve"> Group A </w:t>
      </w:r>
      <w:r w:rsidR="00530E5B">
        <w:rPr>
          <w:lang w:eastAsia="ja-JP"/>
        </w:rPr>
        <w:t>or</w:t>
      </w:r>
      <w:r w:rsidR="00A24AA5">
        <w:rPr>
          <w:rFonts w:hint="eastAsia"/>
          <w:lang w:eastAsia="ja-JP"/>
        </w:rPr>
        <w:t xml:space="preserve"> Group B and </w:t>
      </w:r>
      <w:r w:rsidR="00530E5B">
        <w:rPr>
          <w:lang w:eastAsia="ja-JP"/>
        </w:rPr>
        <w:t>submitted</w:t>
      </w:r>
      <w:r w:rsidR="00A24AA5">
        <w:rPr>
          <w:rFonts w:hint="eastAsia"/>
          <w:lang w:eastAsia="ja-JP"/>
        </w:rPr>
        <w:t xml:space="preserve"> an input paper to NCSR 6</w:t>
      </w:r>
      <w:r w:rsidR="000F4BC1">
        <w:rPr>
          <w:rFonts w:hint="eastAsia"/>
          <w:lang w:eastAsia="ja-JP"/>
        </w:rPr>
        <w:t xml:space="preserve"> (NCSR 6/12/5).  </w:t>
      </w:r>
      <w:r w:rsidR="00D84A7F">
        <w:rPr>
          <w:rFonts w:hint="eastAsia"/>
          <w:lang w:eastAsia="ja-JP"/>
        </w:rPr>
        <w:t>Figure 1 shows IALA views on this matter.</w:t>
      </w:r>
    </w:p>
    <w:p w14:paraId="5CBCBC0E" w14:textId="77777777" w:rsidR="007B6EC9" w:rsidRDefault="007B6EC9" w:rsidP="00755849">
      <w:pPr>
        <w:pStyle w:val="BodyText"/>
        <w:rPr>
          <w:lang w:eastAsia="ja-JP"/>
        </w:rPr>
      </w:pPr>
    </w:p>
    <w:p w14:paraId="4F873C27" w14:textId="77777777" w:rsidR="00D84A7F" w:rsidRDefault="00D84A7F" w:rsidP="00D84A7F">
      <w:pPr>
        <w:pStyle w:val="BodyText"/>
        <w:jc w:val="center"/>
        <w:rPr>
          <w:lang w:eastAsia="ja-JP"/>
        </w:rPr>
      </w:pPr>
      <w:r>
        <w:rPr>
          <w:rFonts w:hint="eastAsia"/>
          <w:noProof/>
          <w:lang w:val="nl-NL" w:eastAsia="nl-NL"/>
        </w:rPr>
        <w:lastRenderedPageBreak/>
        <w:drawing>
          <wp:inline distT="0" distB="0" distL="0" distR="0" wp14:anchorId="3FBDCD3A" wp14:editId="6F76ED81">
            <wp:extent cx="4901565" cy="2519680"/>
            <wp:effectExtent l="19050" t="0" r="0" b="0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01565" cy="25196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21B808F" w14:textId="77777777" w:rsidR="00D84A7F" w:rsidRPr="00A24AA5" w:rsidRDefault="00D84A7F" w:rsidP="00D84A7F">
      <w:pPr>
        <w:pStyle w:val="BodyText"/>
        <w:jc w:val="center"/>
        <w:rPr>
          <w:lang w:eastAsia="ja-JP"/>
        </w:rPr>
      </w:pPr>
      <w:r>
        <w:rPr>
          <w:rFonts w:hint="eastAsia"/>
          <w:lang w:eastAsia="ja-JP"/>
        </w:rPr>
        <w:t>Figure 1: Representation of differing device classification</w:t>
      </w:r>
    </w:p>
    <w:p w14:paraId="441FA000" w14:textId="77777777" w:rsidR="00D84A7F" w:rsidRDefault="00D84A7F" w:rsidP="00755849">
      <w:pPr>
        <w:pStyle w:val="BodyText"/>
        <w:rPr>
          <w:lang w:eastAsia="ja-JP"/>
        </w:rPr>
      </w:pPr>
      <w:r>
        <w:rPr>
          <w:rFonts w:hint="eastAsia"/>
          <w:lang w:eastAsia="ja-JP"/>
        </w:rPr>
        <w:t>However</w:t>
      </w:r>
      <w:r w:rsidR="00530E5B">
        <w:rPr>
          <w:lang w:eastAsia="ja-JP"/>
        </w:rPr>
        <w:t>,</w:t>
      </w:r>
      <w:r>
        <w:rPr>
          <w:rFonts w:hint="eastAsia"/>
          <w:lang w:eastAsia="ja-JP"/>
        </w:rPr>
        <w:t xml:space="preserve"> ITU considered that one application of AMRD Group A is </w:t>
      </w:r>
      <w:proofErr w:type="spellStart"/>
      <w:r>
        <w:rPr>
          <w:rFonts w:hint="eastAsia"/>
          <w:lang w:eastAsia="ja-JP"/>
        </w:rPr>
        <w:t>MAtoN</w:t>
      </w:r>
      <w:proofErr w:type="spellEnd"/>
      <w:r>
        <w:rPr>
          <w:rFonts w:hint="eastAsia"/>
          <w:lang w:eastAsia="ja-JP"/>
        </w:rPr>
        <w:t xml:space="preserve"> and also sent a liaison </w:t>
      </w:r>
      <w:r w:rsidR="00DC501E">
        <w:rPr>
          <w:lang w:eastAsia="ja-JP"/>
        </w:rPr>
        <w:t xml:space="preserve">note </w:t>
      </w:r>
      <w:r>
        <w:rPr>
          <w:rFonts w:hint="eastAsia"/>
          <w:lang w:eastAsia="ja-JP"/>
        </w:rPr>
        <w:t xml:space="preserve">(NCSR 6/12/9) to IMO seeking advice on the application </w:t>
      </w:r>
      <w:r w:rsidR="001016E8">
        <w:rPr>
          <w:rFonts w:hint="eastAsia"/>
          <w:lang w:eastAsia="ja-JP"/>
        </w:rPr>
        <w:t xml:space="preserve">of AMRD from </w:t>
      </w:r>
      <w:r w:rsidR="00530E5B">
        <w:rPr>
          <w:lang w:eastAsia="ja-JP"/>
        </w:rPr>
        <w:t>a</w:t>
      </w:r>
      <w:r w:rsidR="001016E8">
        <w:rPr>
          <w:rFonts w:hint="eastAsia"/>
          <w:lang w:eastAsia="ja-JP"/>
        </w:rPr>
        <w:t xml:space="preserve"> navigational viewpoint.  Figure 2 shows ITU</w:t>
      </w:r>
      <w:r w:rsidR="001016E8">
        <w:rPr>
          <w:lang w:eastAsia="ja-JP"/>
        </w:rPr>
        <w:t>’</w:t>
      </w:r>
      <w:r w:rsidR="001016E8">
        <w:rPr>
          <w:rFonts w:hint="eastAsia"/>
          <w:lang w:eastAsia="ja-JP"/>
        </w:rPr>
        <w:t>s view on this matter.</w:t>
      </w:r>
    </w:p>
    <w:p w14:paraId="0C4A06BB" w14:textId="77777777" w:rsidR="001016E8" w:rsidRDefault="001016E8" w:rsidP="001016E8">
      <w:pPr>
        <w:pStyle w:val="BodyText"/>
        <w:jc w:val="center"/>
        <w:rPr>
          <w:lang w:eastAsia="ja-JP"/>
        </w:rPr>
      </w:pPr>
      <w:r>
        <w:rPr>
          <w:rFonts w:hint="eastAsia"/>
          <w:noProof/>
          <w:lang w:val="nl-NL" w:eastAsia="nl-NL"/>
        </w:rPr>
        <w:drawing>
          <wp:inline distT="0" distB="0" distL="0" distR="0" wp14:anchorId="408259FC" wp14:editId="63C2F694">
            <wp:extent cx="6120130" cy="5553382"/>
            <wp:effectExtent l="19050" t="0" r="0" b="0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555338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EF0E889" w14:textId="77777777" w:rsidR="00D84A7F" w:rsidRDefault="001016E8" w:rsidP="001016E8">
      <w:pPr>
        <w:pStyle w:val="BodyText"/>
        <w:jc w:val="center"/>
        <w:rPr>
          <w:lang w:eastAsia="ja-JP"/>
        </w:rPr>
      </w:pPr>
      <w:r>
        <w:rPr>
          <w:rFonts w:hint="eastAsia"/>
          <w:lang w:eastAsia="ja-JP"/>
        </w:rPr>
        <w:t>Figure 2: Diagram of AMRD in the regulatory framework</w:t>
      </w:r>
    </w:p>
    <w:p w14:paraId="4B1596E0" w14:textId="776FAB97" w:rsidR="0070405E" w:rsidRDefault="001016E8" w:rsidP="00755849">
      <w:pPr>
        <w:pStyle w:val="BodyText"/>
        <w:rPr>
          <w:lang w:eastAsia="ja-JP"/>
        </w:rPr>
      </w:pPr>
      <w:r>
        <w:rPr>
          <w:rFonts w:hint="eastAsia"/>
          <w:lang w:eastAsia="ja-JP"/>
        </w:rPr>
        <w:lastRenderedPageBreak/>
        <w:t xml:space="preserve">At NCSR 6, NAV WG and COM WG had a joint session to discuss the matter and there were some concerns expressed </w:t>
      </w:r>
      <w:r w:rsidR="00DC501E">
        <w:rPr>
          <w:lang w:eastAsia="ja-JP"/>
        </w:rPr>
        <w:t>by</w:t>
      </w:r>
      <w:r w:rsidR="00DC501E">
        <w:rPr>
          <w:rFonts w:hint="eastAsia"/>
          <w:lang w:eastAsia="ja-JP"/>
        </w:rPr>
        <w:t xml:space="preserve"> the delegates </w:t>
      </w:r>
      <w:r>
        <w:rPr>
          <w:rFonts w:hint="eastAsia"/>
          <w:lang w:eastAsia="ja-JP"/>
        </w:rPr>
        <w:t xml:space="preserve">especially </w:t>
      </w:r>
      <w:r w:rsidR="00DC501E">
        <w:rPr>
          <w:rFonts w:hint="eastAsia"/>
          <w:lang w:eastAsia="ja-JP"/>
        </w:rPr>
        <w:t xml:space="preserve">on </w:t>
      </w:r>
      <w:r>
        <w:rPr>
          <w:rFonts w:hint="eastAsia"/>
          <w:lang w:eastAsia="ja-JP"/>
        </w:rPr>
        <w:t xml:space="preserve">AMRD such as </w:t>
      </w:r>
      <w:r>
        <w:rPr>
          <w:lang w:eastAsia="ja-JP"/>
        </w:rPr>
        <w:t>responsibility</w:t>
      </w:r>
      <w:r w:rsidR="00DC501E">
        <w:rPr>
          <w:lang w:eastAsia="ja-JP"/>
        </w:rPr>
        <w:t xml:space="preserve"> and</w:t>
      </w:r>
      <w:r>
        <w:rPr>
          <w:rFonts w:hint="eastAsia"/>
          <w:lang w:eastAsia="ja-JP"/>
        </w:rPr>
        <w:t xml:space="preserve"> applications.  The Chair</w:t>
      </w:r>
      <w:r w:rsidR="00CD71E7">
        <w:rPr>
          <w:lang w:eastAsia="ja-JP"/>
        </w:rPr>
        <w:t xml:space="preserve"> of the</w:t>
      </w:r>
      <w:r>
        <w:rPr>
          <w:rFonts w:hint="eastAsia"/>
          <w:lang w:eastAsia="ja-JP"/>
        </w:rPr>
        <w:t xml:space="preserve"> ENAV </w:t>
      </w:r>
      <w:r w:rsidR="00CD71E7">
        <w:rPr>
          <w:lang w:eastAsia="ja-JP"/>
        </w:rPr>
        <w:t xml:space="preserve">committee </w:t>
      </w:r>
      <w:r>
        <w:rPr>
          <w:rFonts w:hint="eastAsia"/>
          <w:lang w:eastAsia="ja-JP"/>
        </w:rPr>
        <w:t xml:space="preserve">commented that such concerns were already discussed </w:t>
      </w:r>
      <w:r w:rsidR="0070405E">
        <w:rPr>
          <w:rFonts w:hint="eastAsia"/>
          <w:lang w:eastAsia="ja-JP"/>
        </w:rPr>
        <w:t>during the development of</w:t>
      </w:r>
      <w:r w:rsidR="00DC501E">
        <w:rPr>
          <w:lang w:eastAsia="ja-JP"/>
        </w:rPr>
        <w:t xml:space="preserve"> the</w:t>
      </w:r>
      <w:r w:rsidR="0070405E">
        <w:rPr>
          <w:rFonts w:hint="eastAsia"/>
          <w:lang w:eastAsia="ja-JP"/>
        </w:rPr>
        <w:t xml:space="preserve"> </w:t>
      </w:r>
      <w:proofErr w:type="spellStart"/>
      <w:r w:rsidR="0070405E">
        <w:rPr>
          <w:rFonts w:hint="eastAsia"/>
          <w:lang w:eastAsia="ja-JP"/>
        </w:rPr>
        <w:t>MAtoN</w:t>
      </w:r>
      <w:proofErr w:type="spellEnd"/>
      <w:r w:rsidR="0070405E">
        <w:rPr>
          <w:rFonts w:hint="eastAsia"/>
          <w:lang w:eastAsia="ja-JP"/>
        </w:rPr>
        <w:t xml:space="preserve"> concept and solutions were </w:t>
      </w:r>
      <w:r w:rsidR="00DC501E">
        <w:rPr>
          <w:lang w:eastAsia="ja-JP"/>
        </w:rPr>
        <w:t>included</w:t>
      </w:r>
      <w:r w:rsidR="0070405E">
        <w:rPr>
          <w:rFonts w:hint="eastAsia"/>
          <w:lang w:eastAsia="ja-JP"/>
        </w:rPr>
        <w:t xml:space="preserve"> in IALA Recommendation R-1016 on </w:t>
      </w:r>
      <w:proofErr w:type="spellStart"/>
      <w:r w:rsidR="0070405E">
        <w:rPr>
          <w:rFonts w:hint="eastAsia"/>
          <w:lang w:eastAsia="ja-JP"/>
        </w:rPr>
        <w:t>MAtoN</w:t>
      </w:r>
      <w:proofErr w:type="spellEnd"/>
      <w:r w:rsidR="0070405E">
        <w:rPr>
          <w:rFonts w:hint="eastAsia"/>
          <w:lang w:eastAsia="ja-JP"/>
        </w:rPr>
        <w:t xml:space="preserve">.  After some </w:t>
      </w:r>
      <w:proofErr w:type="spellStart"/>
      <w:r w:rsidR="00CD71E7">
        <w:rPr>
          <w:lang w:eastAsia="ja-JP"/>
        </w:rPr>
        <w:t>discusion</w:t>
      </w:r>
      <w:proofErr w:type="spellEnd"/>
      <w:r w:rsidR="00CD71E7">
        <w:rPr>
          <w:lang w:eastAsia="ja-JP"/>
        </w:rPr>
        <w:t xml:space="preserve"> </w:t>
      </w:r>
      <w:r w:rsidR="0070405E">
        <w:rPr>
          <w:rFonts w:hint="eastAsia"/>
          <w:lang w:eastAsia="ja-JP"/>
        </w:rPr>
        <w:t xml:space="preserve">among IALA members, IALA agreed that </w:t>
      </w:r>
      <w:proofErr w:type="spellStart"/>
      <w:r w:rsidR="0070405E">
        <w:rPr>
          <w:rFonts w:hint="eastAsia"/>
          <w:lang w:eastAsia="ja-JP"/>
        </w:rPr>
        <w:t>MAtoN</w:t>
      </w:r>
      <w:proofErr w:type="spellEnd"/>
      <w:r w:rsidR="0070405E">
        <w:rPr>
          <w:rFonts w:hint="eastAsia"/>
          <w:lang w:eastAsia="ja-JP"/>
        </w:rPr>
        <w:t xml:space="preserve"> could be one of applications of AMRD Group A but still had some concerns on ITU</w:t>
      </w:r>
      <w:r w:rsidR="0070405E">
        <w:rPr>
          <w:lang w:eastAsia="ja-JP"/>
        </w:rPr>
        <w:t>’</w:t>
      </w:r>
      <w:r w:rsidR="0070405E">
        <w:rPr>
          <w:rFonts w:hint="eastAsia"/>
          <w:lang w:eastAsia="ja-JP"/>
        </w:rPr>
        <w:t xml:space="preserve">s view </w:t>
      </w:r>
      <w:r w:rsidR="00DC501E">
        <w:rPr>
          <w:lang w:eastAsia="ja-JP"/>
        </w:rPr>
        <w:t xml:space="preserve">on matters </w:t>
      </w:r>
      <w:r w:rsidR="0070405E">
        <w:rPr>
          <w:rFonts w:hint="eastAsia"/>
          <w:lang w:eastAsia="ja-JP"/>
        </w:rPr>
        <w:t>such as numbering</w:t>
      </w:r>
      <w:r w:rsidR="00DC501E">
        <w:rPr>
          <w:lang w:eastAsia="ja-JP"/>
        </w:rPr>
        <w:t xml:space="preserve"> </w:t>
      </w:r>
      <w:r w:rsidR="00CD71E7">
        <w:rPr>
          <w:lang w:eastAsia="ja-JP"/>
        </w:rPr>
        <w:t xml:space="preserve">scheme </w:t>
      </w:r>
      <w:r w:rsidR="00DC501E">
        <w:rPr>
          <w:lang w:eastAsia="ja-JP"/>
        </w:rPr>
        <w:t xml:space="preserve">and </w:t>
      </w:r>
      <w:r w:rsidR="0070405E">
        <w:rPr>
          <w:rFonts w:hint="eastAsia"/>
          <w:lang w:eastAsia="ja-JP"/>
        </w:rPr>
        <w:t>output power.</w:t>
      </w:r>
      <w:r w:rsidR="00D97A43">
        <w:rPr>
          <w:rFonts w:hint="eastAsia"/>
          <w:lang w:eastAsia="ja-JP"/>
        </w:rPr>
        <w:t xml:space="preserve">  </w:t>
      </w:r>
      <w:r w:rsidR="002D3DC4">
        <w:rPr>
          <w:rFonts w:hint="eastAsia"/>
          <w:lang w:eastAsia="ja-JP"/>
        </w:rPr>
        <w:t>NCSR 6 developed the liaison to ITU-R WP5b that suggested</w:t>
      </w:r>
      <w:r w:rsidR="00DC501E">
        <w:rPr>
          <w:lang w:eastAsia="ja-JP"/>
        </w:rPr>
        <w:t xml:space="preserve"> that</w:t>
      </w:r>
      <w:r w:rsidR="002D3DC4">
        <w:rPr>
          <w:rFonts w:hint="eastAsia"/>
          <w:lang w:eastAsia="ja-JP"/>
        </w:rPr>
        <w:t xml:space="preserve"> MOB Class M and </w:t>
      </w:r>
      <w:proofErr w:type="spellStart"/>
      <w:r w:rsidR="002D3DC4">
        <w:rPr>
          <w:rFonts w:hint="eastAsia"/>
          <w:lang w:eastAsia="ja-JP"/>
        </w:rPr>
        <w:t>MAtoN</w:t>
      </w:r>
      <w:proofErr w:type="spellEnd"/>
      <w:r w:rsidR="002D3DC4">
        <w:rPr>
          <w:rFonts w:hint="eastAsia"/>
          <w:lang w:eastAsia="ja-JP"/>
        </w:rPr>
        <w:t xml:space="preserve"> were the application of AMRD Group A and also requested the </w:t>
      </w:r>
      <w:r w:rsidR="002D3DC4">
        <w:rPr>
          <w:lang w:eastAsia="ja-JP"/>
        </w:rPr>
        <w:t>modification</w:t>
      </w:r>
      <w:r w:rsidR="002D3DC4">
        <w:rPr>
          <w:rFonts w:hint="eastAsia"/>
          <w:lang w:eastAsia="ja-JP"/>
        </w:rPr>
        <w:t xml:space="preserve"> </w:t>
      </w:r>
      <w:r w:rsidR="00D97A43">
        <w:rPr>
          <w:rFonts w:hint="eastAsia"/>
          <w:lang w:eastAsia="ja-JP"/>
        </w:rPr>
        <w:t xml:space="preserve">of </w:t>
      </w:r>
      <w:r w:rsidR="00DC501E">
        <w:rPr>
          <w:lang w:eastAsia="ja-JP"/>
        </w:rPr>
        <w:t xml:space="preserve">the </w:t>
      </w:r>
      <w:r w:rsidR="00D97A43">
        <w:rPr>
          <w:rFonts w:hint="eastAsia"/>
          <w:lang w:eastAsia="ja-JP"/>
        </w:rPr>
        <w:t>numbering scheme of AMRD. (ANNEX 11, NCSR 6/WP 5)</w:t>
      </w:r>
    </w:p>
    <w:p w14:paraId="1649F7AE" w14:textId="1216A8D5" w:rsidR="00A446C9" w:rsidRPr="007A395D" w:rsidRDefault="00D97A43" w:rsidP="00F36489">
      <w:pPr>
        <w:pStyle w:val="BodyText"/>
        <w:rPr>
          <w:lang w:eastAsia="ja-JP"/>
        </w:rPr>
      </w:pPr>
      <w:r>
        <w:rPr>
          <w:rFonts w:hint="eastAsia"/>
          <w:lang w:eastAsia="ja-JP"/>
        </w:rPr>
        <w:t>After the discussion, the Chair</w:t>
      </w:r>
      <w:r w:rsidR="00CD71E7">
        <w:rPr>
          <w:lang w:eastAsia="ja-JP"/>
        </w:rPr>
        <w:t xml:space="preserve"> of the</w:t>
      </w:r>
      <w:r>
        <w:rPr>
          <w:rFonts w:hint="eastAsia"/>
          <w:lang w:eastAsia="ja-JP"/>
        </w:rPr>
        <w:t xml:space="preserve"> ENAV </w:t>
      </w:r>
      <w:r w:rsidR="00CD71E7">
        <w:rPr>
          <w:lang w:eastAsia="ja-JP"/>
        </w:rPr>
        <w:t xml:space="preserve">committee </w:t>
      </w:r>
      <w:r>
        <w:rPr>
          <w:rFonts w:hint="eastAsia"/>
          <w:lang w:eastAsia="ja-JP"/>
        </w:rPr>
        <w:t xml:space="preserve">was </w:t>
      </w:r>
      <w:r>
        <w:rPr>
          <w:lang w:eastAsia="ja-JP"/>
        </w:rPr>
        <w:t>approached</w:t>
      </w:r>
      <w:r>
        <w:rPr>
          <w:rFonts w:hint="eastAsia"/>
          <w:lang w:eastAsia="ja-JP"/>
        </w:rPr>
        <w:t xml:space="preserve"> by some delegates </w:t>
      </w:r>
      <w:r w:rsidR="00DC501E">
        <w:rPr>
          <w:lang w:eastAsia="ja-JP"/>
        </w:rPr>
        <w:t xml:space="preserve">with questions regarding </w:t>
      </w:r>
      <w:proofErr w:type="spellStart"/>
      <w:r>
        <w:rPr>
          <w:rFonts w:hint="eastAsia"/>
          <w:lang w:eastAsia="ja-JP"/>
        </w:rPr>
        <w:t>MAtoN</w:t>
      </w:r>
      <w:proofErr w:type="spellEnd"/>
      <w:r>
        <w:rPr>
          <w:rFonts w:hint="eastAsia"/>
          <w:lang w:eastAsia="ja-JP"/>
        </w:rPr>
        <w:t xml:space="preserve"> </w:t>
      </w:r>
      <w:r w:rsidR="00DC501E">
        <w:rPr>
          <w:lang w:eastAsia="ja-JP"/>
        </w:rPr>
        <w:t>as</w:t>
      </w:r>
      <w:r>
        <w:rPr>
          <w:rFonts w:hint="eastAsia"/>
          <w:lang w:eastAsia="ja-JP"/>
        </w:rPr>
        <w:t xml:space="preserve"> it was the first time </w:t>
      </w:r>
      <w:r w:rsidR="00DC501E">
        <w:rPr>
          <w:lang w:eastAsia="ja-JP"/>
        </w:rPr>
        <w:t>they had</w:t>
      </w:r>
      <w:r>
        <w:rPr>
          <w:rFonts w:hint="eastAsia"/>
          <w:lang w:eastAsia="ja-JP"/>
        </w:rPr>
        <w:t xml:space="preserve"> hear</w:t>
      </w:r>
      <w:r w:rsidR="00DC501E">
        <w:rPr>
          <w:lang w:eastAsia="ja-JP"/>
        </w:rPr>
        <w:t>d about the</w:t>
      </w:r>
      <w:r>
        <w:rPr>
          <w:rFonts w:hint="eastAsia"/>
          <w:lang w:eastAsia="ja-JP"/>
        </w:rPr>
        <w:t xml:space="preserve"> </w:t>
      </w:r>
      <w:proofErr w:type="spellStart"/>
      <w:r>
        <w:rPr>
          <w:rFonts w:hint="eastAsia"/>
          <w:lang w:eastAsia="ja-JP"/>
        </w:rPr>
        <w:t>MAtoN</w:t>
      </w:r>
      <w:proofErr w:type="spellEnd"/>
      <w:r>
        <w:rPr>
          <w:rFonts w:hint="eastAsia"/>
          <w:lang w:eastAsia="ja-JP"/>
        </w:rPr>
        <w:t xml:space="preserve"> concept.</w:t>
      </w:r>
    </w:p>
    <w:p w14:paraId="2EAF7BB2" w14:textId="77777777" w:rsidR="00A446C9" w:rsidRPr="007A395D" w:rsidRDefault="00A446C9" w:rsidP="00605E43">
      <w:pPr>
        <w:pStyle w:val="Heading1"/>
      </w:pPr>
      <w:r w:rsidRPr="007A395D">
        <w:t>Discussion</w:t>
      </w:r>
    </w:p>
    <w:p w14:paraId="1D2918F5" w14:textId="77777777" w:rsidR="002974EA" w:rsidRDefault="00045727" w:rsidP="00126B79">
      <w:pPr>
        <w:pStyle w:val="BodyText"/>
        <w:rPr>
          <w:lang w:eastAsia="ja-JP"/>
        </w:rPr>
      </w:pPr>
      <w:r>
        <w:rPr>
          <w:rFonts w:hint="eastAsia"/>
          <w:lang w:eastAsia="ja-JP"/>
        </w:rPr>
        <w:t xml:space="preserve">ITU agreed to allocate </w:t>
      </w:r>
      <w:r w:rsidR="00DC501E">
        <w:rPr>
          <w:lang w:eastAsia="ja-JP"/>
        </w:rPr>
        <w:t xml:space="preserve">the </w:t>
      </w:r>
      <w:r>
        <w:rPr>
          <w:rFonts w:hint="eastAsia"/>
          <w:lang w:eastAsia="ja-JP"/>
        </w:rPr>
        <w:t xml:space="preserve">same MMSI </w:t>
      </w:r>
      <w:r>
        <w:rPr>
          <w:lang w:eastAsia="ja-JP"/>
        </w:rPr>
        <w:t>numbering</w:t>
      </w:r>
      <w:r>
        <w:rPr>
          <w:rFonts w:hint="eastAsia"/>
          <w:lang w:eastAsia="ja-JP"/>
        </w:rPr>
        <w:t xml:space="preserve"> scheme for AIS</w:t>
      </w:r>
      <w:r w:rsidR="002974EA">
        <w:rPr>
          <w:rFonts w:hint="eastAsia"/>
          <w:lang w:eastAsia="ja-JP"/>
        </w:rPr>
        <w:t>-</w:t>
      </w:r>
      <w:proofErr w:type="spellStart"/>
      <w:r>
        <w:rPr>
          <w:rFonts w:hint="eastAsia"/>
          <w:lang w:eastAsia="ja-JP"/>
        </w:rPr>
        <w:t>AtoN</w:t>
      </w:r>
      <w:proofErr w:type="spellEnd"/>
      <w:r w:rsidR="002974EA">
        <w:rPr>
          <w:rFonts w:hint="eastAsia"/>
          <w:lang w:eastAsia="ja-JP"/>
        </w:rPr>
        <w:t xml:space="preserve"> to </w:t>
      </w:r>
      <w:proofErr w:type="spellStart"/>
      <w:r w:rsidR="002974EA">
        <w:rPr>
          <w:rFonts w:hint="eastAsia"/>
          <w:lang w:eastAsia="ja-JP"/>
        </w:rPr>
        <w:t>MAtoN</w:t>
      </w:r>
      <w:proofErr w:type="spellEnd"/>
      <w:r w:rsidR="002974EA">
        <w:rPr>
          <w:rFonts w:hint="eastAsia"/>
          <w:lang w:eastAsia="ja-JP"/>
        </w:rPr>
        <w:t xml:space="preserve"> including AMRD Group A </w:t>
      </w:r>
      <w:proofErr w:type="spellStart"/>
      <w:r w:rsidR="002974EA">
        <w:rPr>
          <w:rFonts w:hint="eastAsia"/>
          <w:lang w:eastAsia="ja-JP"/>
        </w:rPr>
        <w:t>MAtoN</w:t>
      </w:r>
      <w:proofErr w:type="spellEnd"/>
      <w:r w:rsidR="002974EA">
        <w:rPr>
          <w:rFonts w:hint="eastAsia"/>
          <w:lang w:eastAsia="ja-JP"/>
        </w:rPr>
        <w:t xml:space="preserve"> application</w:t>
      </w:r>
      <w:r w:rsidR="000C1EDA">
        <w:rPr>
          <w:lang w:eastAsia="ja-JP"/>
        </w:rPr>
        <w:t xml:space="preserve"> so that t</w:t>
      </w:r>
      <w:r w:rsidR="00DC501E">
        <w:rPr>
          <w:lang w:eastAsia="ja-JP"/>
        </w:rPr>
        <w:t>he</w:t>
      </w:r>
      <w:r w:rsidR="002974EA">
        <w:rPr>
          <w:rFonts w:hint="eastAsia"/>
          <w:lang w:eastAsia="ja-JP"/>
        </w:rPr>
        <w:t xml:space="preserve"> current MMSI numbering scheme for AIS-</w:t>
      </w:r>
      <w:proofErr w:type="spellStart"/>
      <w:r w:rsidR="002974EA">
        <w:rPr>
          <w:rFonts w:hint="eastAsia"/>
          <w:lang w:eastAsia="ja-JP"/>
        </w:rPr>
        <w:t>AtoN</w:t>
      </w:r>
      <w:proofErr w:type="spellEnd"/>
      <w:r w:rsidR="002974EA">
        <w:rPr>
          <w:rFonts w:hint="eastAsia"/>
          <w:lang w:eastAsia="ja-JP"/>
        </w:rPr>
        <w:t xml:space="preserve"> </w:t>
      </w:r>
      <w:r w:rsidR="00DC501E">
        <w:rPr>
          <w:lang w:eastAsia="ja-JP"/>
        </w:rPr>
        <w:t xml:space="preserve">is </w:t>
      </w:r>
      <w:r w:rsidR="002974EA">
        <w:rPr>
          <w:rFonts w:hint="eastAsia"/>
          <w:lang w:eastAsia="ja-JP"/>
        </w:rPr>
        <w:t>as follows;</w:t>
      </w:r>
    </w:p>
    <w:p w14:paraId="4CAF38CF" w14:textId="77777777" w:rsidR="002974EA" w:rsidRDefault="002974EA" w:rsidP="002974EA">
      <w:pPr>
        <w:pStyle w:val="BodyText"/>
        <w:ind w:leftChars="300" w:left="660"/>
        <w:rPr>
          <w:lang w:eastAsia="ja-JP"/>
        </w:rPr>
      </w:pPr>
      <w:r>
        <w:rPr>
          <w:rFonts w:hint="eastAsia"/>
          <w:lang w:eastAsia="ja-JP"/>
        </w:rPr>
        <w:t>99MID1XXX: Physical AIS-</w:t>
      </w:r>
      <w:proofErr w:type="spellStart"/>
      <w:r>
        <w:rPr>
          <w:rFonts w:hint="eastAsia"/>
          <w:lang w:eastAsia="ja-JP"/>
        </w:rPr>
        <w:t>AtoN</w:t>
      </w:r>
      <w:proofErr w:type="spellEnd"/>
      <w:r>
        <w:rPr>
          <w:rFonts w:hint="eastAsia"/>
          <w:lang w:eastAsia="ja-JP"/>
        </w:rPr>
        <w:t>;</w:t>
      </w:r>
    </w:p>
    <w:p w14:paraId="792333D0" w14:textId="77777777" w:rsidR="002974EA" w:rsidRDefault="002974EA" w:rsidP="002974EA">
      <w:pPr>
        <w:pStyle w:val="BodyText"/>
        <w:ind w:leftChars="300" w:left="660"/>
        <w:rPr>
          <w:lang w:eastAsia="ja-JP"/>
        </w:rPr>
      </w:pPr>
      <w:r>
        <w:rPr>
          <w:rFonts w:hint="eastAsia"/>
          <w:lang w:eastAsia="ja-JP"/>
        </w:rPr>
        <w:t>99MID6XXX: Virtual AIS-</w:t>
      </w:r>
      <w:proofErr w:type="spellStart"/>
      <w:r>
        <w:rPr>
          <w:rFonts w:hint="eastAsia"/>
          <w:lang w:eastAsia="ja-JP"/>
        </w:rPr>
        <w:t>AtoN</w:t>
      </w:r>
      <w:proofErr w:type="spellEnd"/>
      <w:r>
        <w:rPr>
          <w:rFonts w:hint="eastAsia"/>
          <w:lang w:eastAsia="ja-JP"/>
        </w:rPr>
        <w:t>; and</w:t>
      </w:r>
    </w:p>
    <w:p w14:paraId="5687B1DD" w14:textId="77777777" w:rsidR="002974EA" w:rsidRDefault="002974EA" w:rsidP="002974EA">
      <w:pPr>
        <w:pStyle w:val="BodyText"/>
        <w:ind w:leftChars="300" w:left="660"/>
        <w:rPr>
          <w:lang w:eastAsia="ja-JP"/>
        </w:rPr>
      </w:pPr>
      <w:r>
        <w:rPr>
          <w:rFonts w:hint="eastAsia"/>
          <w:lang w:eastAsia="ja-JP"/>
        </w:rPr>
        <w:t xml:space="preserve">99MID8XXX: Mobile </w:t>
      </w:r>
      <w:proofErr w:type="spellStart"/>
      <w:r>
        <w:rPr>
          <w:rFonts w:hint="eastAsia"/>
          <w:lang w:eastAsia="ja-JP"/>
        </w:rPr>
        <w:t>AtoN</w:t>
      </w:r>
      <w:proofErr w:type="spellEnd"/>
      <w:r>
        <w:rPr>
          <w:rFonts w:hint="eastAsia"/>
          <w:lang w:eastAsia="ja-JP"/>
        </w:rPr>
        <w:t>.</w:t>
      </w:r>
    </w:p>
    <w:p w14:paraId="61DA6854" w14:textId="0A57B94A" w:rsidR="00126B79" w:rsidRDefault="002974EA" w:rsidP="00126B79">
      <w:pPr>
        <w:pStyle w:val="BodyText"/>
        <w:rPr>
          <w:lang w:eastAsia="ja-JP"/>
        </w:rPr>
      </w:pPr>
      <w:r>
        <w:rPr>
          <w:rFonts w:hint="eastAsia"/>
          <w:lang w:eastAsia="ja-JP"/>
        </w:rPr>
        <w:t>However</w:t>
      </w:r>
      <w:r w:rsidR="00DC501E">
        <w:rPr>
          <w:lang w:eastAsia="ja-JP"/>
        </w:rPr>
        <w:t>,</w:t>
      </w:r>
      <w:r>
        <w:rPr>
          <w:rFonts w:hint="eastAsia"/>
          <w:lang w:eastAsia="ja-JP"/>
        </w:rPr>
        <w:t xml:space="preserve"> IALA Recommendation R-1016 identified 2 types of </w:t>
      </w:r>
      <w:proofErr w:type="spellStart"/>
      <w:r>
        <w:rPr>
          <w:rFonts w:hint="eastAsia"/>
          <w:lang w:eastAsia="ja-JP"/>
        </w:rPr>
        <w:t>MAtoN</w:t>
      </w:r>
      <w:proofErr w:type="spellEnd"/>
      <w:r>
        <w:rPr>
          <w:rFonts w:hint="eastAsia"/>
          <w:lang w:eastAsia="ja-JP"/>
        </w:rPr>
        <w:t xml:space="preserve">, physical and </w:t>
      </w:r>
      <w:r>
        <w:rPr>
          <w:lang w:eastAsia="ja-JP"/>
        </w:rPr>
        <w:t>virtual</w:t>
      </w:r>
      <w:r>
        <w:rPr>
          <w:rFonts w:hint="eastAsia"/>
          <w:lang w:eastAsia="ja-JP"/>
        </w:rPr>
        <w:t xml:space="preserve">.  Therefore how physical </w:t>
      </w:r>
      <w:proofErr w:type="spellStart"/>
      <w:r>
        <w:rPr>
          <w:rFonts w:hint="eastAsia"/>
          <w:lang w:eastAsia="ja-JP"/>
        </w:rPr>
        <w:t>MAtoN</w:t>
      </w:r>
      <w:proofErr w:type="spellEnd"/>
      <w:r>
        <w:rPr>
          <w:rFonts w:hint="eastAsia"/>
          <w:lang w:eastAsia="ja-JP"/>
        </w:rPr>
        <w:t xml:space="preserve"> and virtual </w:t>
      </w:r>
      <w:proofErr w:type="spellStart"/>
      <w:r>
        <w:rPr>
          <w:rFonts w:hint="eastAsia"/>
          <w:lang w:eastAsia="ja-JP"/>
        </w:rPr>
        <w:t>MAtoN</w:t>
      </w:r>
      <w:proofErr w:type="spellEnd"/>
      <w:r>
        <w:rPr>
          <w:rFonts w:hint="eastAsia"/>
          <w:lang w:eastAsia="ja-JP"/>
        </w:rPr>
        <w:t xml:space="preserve"> </w:t>
      </w:r>
      <w:r w:rsidR="000C1EDA">
        <w:rPr>
          <w:lang w:eastAsia="ja-JP"/>
        </w:rPr>
        <w:t xml:space="preserve">is identified </w:t>
      </w:r>
      <w:r>
        <w:rPr>
          <w:rFonts w:hint="eastAsia"/>
          <w:lang w:eastAsia="ja-JP"/>
        </w:rPr>
        <w:t>should be considered.</w:t>
      </w:r>
      <w:r w:rsidR="00D65081">
        <w:rPr>
          <w:rFonts w:hint="eastAsia"/>
          <w:lang w:eastAsia="ja-JP"/>
        </w:rPr>
        <w:t xml:space="preserve">  In addition, since ITU asked how virtual </w:t>
      </w:r>
      <w:proofErr w:type="spellStart"/>
      <w:r w:rsidR="00D65081">
        <w:rPr>
          <w:rFonts w:hint="eastAsia"/>
          <w:lang w:eastAsia="ja-JP"/>
        </w:rPr>
        <w:t>MAtoN</w:t>
      </w:r>
      <w:proofErr w:type="spellEnd"/>
      <w:r w:rsidR="00D65081">
        <w:rPr>
          <w:rFonts w:hint="eastAsia"/>
          <w:lang w:eastAsia="ja-JP"/>
        </w:rPr>
        <w:t xml:space="preserve"> works, </w:t>
      </w:r>
      <w:r w:rsidR="000C1EDA">
        <w:rPr>
          <w:lang w:eastAsia="ja-JP"/>
        </w:rPr>
        <w:t>an</w:t>
      </w:r>
      <w:r w:rsidR="00D65081">
        <w:rPr>
          <w:rFonts w:hint="eastAsia"/>
          <w:lang w:eastAsia="ja-JP"/>
        </w:rPr>
        <w:t xml:space="preserve"> explanation</w:t>
      </w:r>
      <w:r w:rsidR="000C1EDA">
        <w:rPr>
          <w:lang w:eastAsia="ja-JP"/>
        </w:rPr>
        <w:t xml:space="preserve"> that</w:t>
      </w:r>
      <w:r w:rsidR="00D65081">
        <w:rPr>
          <w:rFonts w:hint="eastAsia"/>
          <w:lang w:eastAsia="ja-JP"/>
        </w:rPr>
        <w:t xml:space="preserve"> includ</w:t>
      </w:r>
      <w:r w:rsidR="000C1EDA">
        <w:rPr>
          <w:lang w:eastAsia="ja-JP"/>
        </w:rPr>
        <w:t>es</w:t>
      </w:r>
      <w:r w:rsidR="00D65081">
        <w:rPr>
          <w:rFonts w:hint="eastAsia"/>
          <w:lang w:eastAsia="ja-JP"/>
        </w:rPr>
        <w:t xml:space="preserve"> </w:t>
      </w:r>
      <w:r w:rsidR="000C1EDA">
        <w:rPr>
          <w:lang w:eastAsia="ja-JP"/>
        </w:rPr>
        <w:t>mechanisms</w:t>
      </w:r>
      <w:r w:rsidR="000C1EDA">
        <w:rPr>
          <w:rFonts w:hint="eastAsia"/>
          <w:lang w:eastAsia="ja-JP"/>
        </w:rPr>
        <w:t xml:space="preserve"> </w:t>
      </w:r>
      <w:r w:rsidR="000C1EDA">
        <w:rPr>
          <w:lang w:eastAsia="ja-JP"/>
        </w:rPr>
        <w:t xml:space="preserve">and a </w:t>
      </w:r>
      <w:r w:rsidR="00D65081">
        <w:rPr>
          <w:rFonts w:hint="eastAsia"/>
          <w:lang w:eastAsia="ja-JP"/>
        </w:rPr>
        <w:t>use</w:t>
      </w:r>
      <w:r w:rsidR="000C1EDA">
        <w:rPr>
          <w:lang w:eastAsia="ja-JP"/>
        </w:rPr>
        <w:t>r</w:t>
      </w:r>
      <w:r w:rsidR="00D65081">
        <w:rPr>
          <w:rFonts w:hint="eastAsia"/>
          <w:lang w:eastAsia="ja-JP"/>
        </w:rPr>
        <w:t xml:space="preserve"> case of </w:t>
      </w:r>
      <w:r w:rsidR="00D65081">
        <w:rPr>
          <w:lang w:eastAsia="ja-JP"/>
        </w:rPr>
        <w:t>virtual</w:t>
      </w:r>
      <w:r w:rsidR="00D65081">
        <w:rPr>
          <w:rFonts w:hint="eastAsia"/>
          <w:lang w:eastAsia="ja-JP"/>
        </w:rPr>
        <w:t xml:space="preserve"> </w:t>
      </w:r>
      <w:proofErr w:type="spellStart"/>
      <w:r w:rsidR="00D65081">
        <w:rPr>
          <w:rFonts w:hint="eastAsia"/>
          <w:lang w:eastAsia="ja-JP"/>
        </w:rPr>
        <w:t>MAtoN</w:t>
      </w:r>
      <w:proofErr w:type="spellEnd"/>
      <w:r w:rsidR="00D65081">
        <w:rPr>
          <w:rFonts w:hint="eastAsia"/>
          <w:lang w:eastAsia="ja-JP"/>
        </w:rPr>
        <w:t xml:space="preserve"> is </w:t>
      </w:r>
      <w:proofErr w:type="spellStart"/>
      <w:r w:rsidR="00D65081">
        <w:rPr>
          <w:rFonts w:hint="eastAsia"/>
          <w:lang w:eastAsia="ja-JP"/>
        </w:rPr>
        <w:t>needed.</w:t>
      </w:r>
      <w:r w:rsidR="000D3881">
        <w:rPr>
          <w:rFonts w:hint="eastAsia"/>
          <w:lang w:eastAsia="ja-JP"/>
        </w:rPr>
        <w:t>Regarding</w:t>
      </w:r>
      <w:proofErr w:type="spellEnd"/>
      <w:r w:rsidR="000D3881">
        <w:rPr>
          <w:rFonts w:hint="eastAsia"/>
          <w:lang w:eastAsia="ja-JP"/>
        </w:rPr>
        <w:t xml:space="preserve"> the output power, the current draft ITU-R Report indicated that the output power of AMRD was </w:t>
      </w:r>
      <w:r w:rsidR="000C1EDA">
        <w:rPr>
          <w:lang w:eastAsia="ja-JP"/>
        </w:rPr>
        <w:t xml:space="preserve">a </w:t>
      </w:r>
      <w:r w:rsidR="000D3881">
        <w:rPr>
          <w:rFonts w:hint="eastAsia"/>
          <w:lang w:eastAsia="ja-JP"/>
        </w:rPr>
        <w:t xml:space="preserve">maximum </w:t>
      </w:r>
      <w:r w:rsidR="000C1EDA">
        <w:rPr>
          <w:lang w:eastAsia="ja-JP"/>
        </w:rPr>
        <w:t xml:space="preserve">of </w:t>
      </w:r>
      <w:r w:rsidR="000D3881">
        <w:rPr>
          <w:rFonts w:hint="eastAsia"/>
          <w:lang w:eastAsia="ja-JP"/>
        </w:rPr>
        <w:t>1 watt</w:t>
      </w:r>
      <w:r w:rsidR="001B73EC">
        <w:rPr>
          <w:lang w:eastAsia="ja-JP"/>
        </w:rPr>
        <w:t xml:space="preserve"> ERP</w:t>
      </w:r>
      <w:r w:rsidR="000D3881">
        <w:rPr>
          <w:rFonts w:hint="eastAsia"/>
          <w:lang w:eastAsia="ja-JP"/>
        </w:rPr>
        <w:t xml:space="preserve">.  IALA </w:t>
      </w:r>
      <w:r w:rsidR="000C1EDA">
        <w:rPr>
          <w:lang w:eastAsia="ja-JP"/>
        </w:rPr>
        <w:t xml:space="preserve">is </w:t>
      </w:r>
      <w:r w:rsidR="000D3881">
        <w:rPr>
          <w:rFonts w:hint="eastAsia"/>
          <w:lang w:eastAsia="ja-JP"/>
        </w:rPr>
        <w:t>concerned that such</w:t>
      </w:r>
      <w:r w:rsidR="000C1EDA">
        <w:rPr>
          <w:lang w:eastAsia="ja-JP"/>
        </w:rPr>
        <w:t xml:space="preserve"> a</w:t>
      </w:r>
      <w:r w:rsidR="000D3881">
        <w:rPr>
          <w:rFonts w:hint="eastAsia"/>
          <w:lang w:eastAsia="ja-JP"/>
        </w:rPr>
        <w:t xml:space="preserve"> low power could not meet the </w:t>
      </w:r>
      <w:r w:rsidR="000D3881">
        <w:rPr>
          <w:lang w:eastAsia="ja-JP"/>
        </w:rPr>
        <w:t>requirement</w:t>
      </w:r>
      <w:r w:rsidR="000D3881">
        <w:rPr>
          <w:rFonts w:hint="eastAsia"/>
          <w:lang w:eastAsia="ja-JP"/>
        </w:rPr>
        <w:t xml:space="preserve"> of </w:t>
      </w:r>
      <w:proofErr w:type="spellStart"/>
      <w:r w:rsidR="000D3881">
        <w:rPr>
          <w:rFonts w:hint="eastAsia"/>
          <w:lang w:eastAsia="ja-JP"/>
        </w:rPr>
        <w:t>AtoN</w:t>
      </w:r>
      <w:proofErr w:type="spellEnd"/>
      <w:r w:rsidR="000D3881">
        <w:rPr>
          <w:rFonts w:hint="eastAsia"/>
          <w:lang w:eastAsia="ja-JP"/>
        </w:rPr>
        <w:t xml:space="preserve">.  </w:t>
      </w:r>
      <w:r w:rsidR="00D6665D">
        <w:rPr>
          <w:rFonts w:hint="eastAsia"/>
          <w:lang w:eastAsia="ja-JP"/>
        </w:rPr>
        <w:t xml:space="preserve">ITU mentioned that it could be possible to change the output power of AMRD Group A after WRC-19.  </w:t>
      </w:r>
      <w:r w:rsidR="000C278C">
        <w:rPr>
          <w:rFonts w:hint="eastAsia"/>
          <w:lang w:eastAsia="ja-JP"/>
        </w:rPr>
        <w:t xml:space="preserve">IALA was </w:t>
      </w:r>
      <w:r w:rsidR="000C278C">
        <w:rPr>
          <w:lang w:eastAsia="ja-JP"/>
        </w:rPr>
        <w:t>therefore</w:t>
      </w:r>
      <w:r w:rsidR="000C278C">
        <w:rPr>
          <w:rFonts w:hint="eastAsia"/>
          <w:lang w:eastAsia="ja-JP"/>
        </w:rPr>
        <w:t xml:space="preserve"> requested to inform ITU of the minimum output calculated from the minimum range of </w:t>
      </w:r>
      <w:proofErr w:type="spellStart"/>
      <w:r w:rsidR="000C278C">
        <w:rPr>
          <w:rFonts w:hint="eastAsia"/>
          <w:lang w:eastAsia="ja-JP"/>
        </w:rPr>
        <w:t>MAtoN</w:t>
      </w:r>
      <w:proofErr w:type="spellEnd"/>
      <w:r w:rsidR="000C278C">
        <w:rPr>
          <w:rFonts w:hint="eastAsia"/>
          <w:lang w:eastAsia="ja-JP"/>
        </w:rPr>
        <w:t>.</w:t>
      </w:r>
    </w:p>
    <w:p w14:paraId="12E148C4" w14:textId="77777777" w:rsidR="000C278C" w:rsidRDefault="000C1EDA" w:rsidP="00126B79">
      <w:pPr>
        <w:pStyle w:val="BodyText"/>
        <w:rPr>
          <w:lang w:eastAsia="ja-JP"/>
        </w:rPr>
      </w:pPr>
      <w:r>
        <w:rPr>
          <w:lang w:eastAsia="ja-JP"/>
        </w:rPr>
        <w:t>There</w:t>
      </w:r>
      <w:r w:rsidR="0041336C">
        <w:rPr>
          <w:rFonts w:hint="eastAsia"/>
          <w:lang w:eastAsia="ja-JP"/>
        </w:rPr>
        <w:t xml:space="preserve"> were several questions on </w:t>
      </w:r>
      <w:proofErr w:type="spellStart"/>
      <w:r w:rsidR="0041336C">
        <w:rPr>
          <w:rFonts w:hint="eastAsia"/>
          <w:lang w:eastAsia="ja-JP"/>
        </w:rPr>
        <w:t>MAtoN</w:t>
      </w:r>
      <w:proofErr w:type="spellEnd"/>
      <w:r>
        <w:rPr>
          <w:lang w:eastAsia="ja-JP"/>
        </w:rPr>
        <w:t xml:space="preserve"> from IMO delegates</w:t>
      </w:r>
      <w:r w:rsidR="0041336C">
        <w:rPr>
          <w:rFonts w:hint="eastAsia"/>
          <w:lang w:eastAsia="ja-JP"/>
        </w:rPr>
        <w:t xml:space="preserve"> and IALA should inform IMO of the </w:t>
      </w:r>
      <w:r w:rsidR="0041336C">
        <w:rPr>
          <w:lang w:eastAsia="ja-JP"/>
        </w:rPr>
        <w:t>development</w:t>
      </w:r>
      <w:r w:rsidR="0041336C">
        <w:rPr>
          <w:rFonts w:hint="eastAsia"/>
          <w:lang w:eastAsia="ja-JP"/>
        </w:rPr>
        <w:t xml:space="preserve"> of </w:t>
      </w:r>
      <w:proofErr w:type="spellStart"/>
      <w:r w:rsidR="0041336C">
        <w:rPr>
          <w:rFonts w:hint="eastAsia"/>
          <w:lang w:eastAsia="ja-JP"/>
        </w:rPr>
        <w:t>MAtoN</w:t>
      </w:r>
      <w:proofErr w:type="spellEnd"/>
      <w:r w:rsidR="0041336C">
        <w:rPr>
          <w:rFonts w:hint="eastAsia"/>
          <w:lang w:eastAsia="ja-JP"/>
        </w:rPr>
        <w:t xml:space="preserve"> through appropriate </w:t>
      </w:r>
      <w:r>
        <w:rPr>
          <w:lang w:eastAsia="ja-JP"/>
        </w:rPr>
        <w:t>means</w:t>
      </w:r>
      <w:r w:rsidR="0041336C">
        <w:rPr>
          <w:rFonts w:hint="eastAsia"/>
          <w:lang w:eastAsia="ja-JP"/>
        </w:rPr>
        <w:t xml:space="preserve">. </w:t>
      </w:r>
    </w:p>
    <w:p w14:paraId="67B15068" w14:textId="45D2025B" w:rsidR="00DC58BA" w:rsidRDefault="006529C7" w:rsidP="00DC58BA">
      <w:pPr>
        <w:pStyle w:val="BodyText"/>
        <w:rPr>
          <w:lang w:eastAsia="ja-JP"/>
        </w:rPr>
      </w:pPr>
      <w:r>
        <w:rPr>
          <w:lang w:eastAsia="ja-JP"/>
        </w:rPr>
        <w:t xml:space="preserve">The Communications WG of the ENAV Committee met </w:t>
      </w:r>
      <w:proofErr w:type="spellStart"/>
      <w:r>
        <w:rPr>
          <w:lang w:eastAsia="ja-JP"/>
        </w:rPr>
        <w:t>intersessionally</w:t>
      </w:r>
      <w:proofErr w:type="spellEnd"/>
      <w:r>
        <w:rPr>
          <w:lang w:eastAsia="ja-JP"/>
        </w:rPr>
        <w:t xml:space="preserve"> in Sydney (4 to 8 F</w:t>
      </w:r>
      <w:r w:rsidR="00DC58BA">
        <w:rPr>
          <w:lang w:eastAsia="ja-JP"/>
        </w:rPr>
        <w:t>eb 2019)</w:t>
      </w:r>
      <w:r>
        <w:rPr>
          <w:lang w:eastAsia="ja-JP"/>
        </w:rPr>
        <w:t>.  The group was of the view that</w:t>
      </w:r>
      <w:r w:rsidR="009773EF">
        <w:rPr>
          <w:lang w:eastAsia="ja-JP"/>
        </w:rPr>
        <w:t>:</w:t>
      </w:r>
    </w:p>
    <w:p w14:paraId="18669162" w14:textId="5460FD35" w:rsidR="009773EF" w:rsidRDefault="006529C7" w:rsidP="009773EF">
      <w:pPr>
        <w:pStyle w:val="ListParagraph"/>
        <w:numPr>
          <w:ilvl w:val="0"/>
          <w:numId w:val="22"/>
        </w:numPr>
        <w:spacing w:after="160" w:line="259" w:lineRule="auto"/>
        <w:rPr>
          <w:rFonts w:asciiTheme="minorHAnsi" w:hAnsiTheme="minorHAnsi" w:cstheme="minorHAnsi"/>
        </w:rPr>
      </w:pPr>
      <w:r w:rsidRPr="008B485F">
        <w:rPr>
          <w:rFonts w:asciiTheme="minorHAnsi" w:hAnsiTheme="minorHAnsi" w:cstheme="minorHAnsi"/>
        </w:rPr>
        <w:t xml:space="preserve">By definition, Group B </w:t>
      </w:r>
      <w:r w:rsidR="009773EF" w:rsidRPr="008B485F">
        <w:rPr>
          <w:rFonts w:asciiTheme="minorHAnsi" w:hAnsiTheme="minorHAnsi" w:cstheme="minorHAnsi"/>
        </w:rPr>
        <w:t xml:space="preserve">AMRD </w:t>
      </w:r>
      <w:r w:rsidRPr="008B485F">
        <w:rPr>
          <w:rFonts w:asciiTheme="minorHAnsi" w:hAnsiTheme="minorHAnsi" w:cstheme="minorHAnsi"/>
        </w:rPr>
        <w:t>do not en</w:t>
      </w:r>
      <w:r w:rsidR="009773EF" w:rsidRPr="008B485F">
        <w:rPr>
          <w:rFonts w:asciiTheme="minorHAnsi" w:hAnsiTheme="minorHAnsi" w:cstheme="minorHAnsi"/>
        </w:rPr>
        <w:t xml:space="preserve">hance </w:t>
      </w:r>
      <w:r w:rsidRPr="008B485F">
        <w:rPr>
          <w:rFonts w:asciiTheme="minorHAnsi" w:hAnsiTheme="minorHAnsi" w:cstheme="minorHAnsi"/>
        </w:rPr>
        <w:t xml:space="preserve">the </w:t>
      </w:r>
      <w:r w:rsidR="009773EF" w:rsidRPr="008B485F">
        <w:rPr>
          <w:rFonts w:asciiTheme="minorHAnsi" w:hAnsiTheme="minorHAnsi" w:cstheme="minorHAnsi"/>
        </w:rPr>
        <w:t>safety of navigation</w:t>
      </w:r>
      <w:r w:rsidRPr="008B485F">
        <w:rPr>
          <w:rFonts w:asciiTheme="minorHAnsi" w:hAnsiTheme="minorHAnsi" w:cstheme="minorHAnsi"/>
        </w:rPr>
        <w:t xml:space="preserve">.  Therefore, they </w:t>
      </w:r>
      <w:r w:rsidR="009773EF" w:rsidRPr="008B485F">
        <w:rPr>
          <w:rFonts w:asciiTheme="minorHAnsi" w:hAnsiTheme="minorHAnsi" w:cstheme="minorHAnsi"/>
        </w:rPr>
        <w:t>must not be able to operate on AIS frequencies.</w:t>
      </w:r>
    </w:p>
    <w:p w14:paraId="422D29D1" w14:textId="39F63FEA" w:rsidR="00650B50" w:rsidRPr="008B485F" w:rsidRDefault="00650B50" w:rsidP="009773EF">
      <w:pPr>
        <w:pStyle w:val="ListParagraph"/>
        <w:numPr>
          <w:ilvl w:val="0"/>
          <w:numId w:val="22"/>
        </w:numPr>
        <w:spacing w:after="160" w:line="259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lang w:eastAsia="ko-KR"/>
        </w:rPr>
        <w:t>However</w:t>
      </w:r>
      <w:r w:rsidR="008B485F">
        <w:rPr>
          <w:rFonts w:asciiTheme="minorHAnsi" w:hAnsiTheme="minorHAnsi" w:cstheme="minorHAnsi"/>
          <w:lang w:eastAsia="ko-KR"/>
        </w:rPr>
        <w:t>,</w:t>
      </w:r>
      <w:r>
        <w:rPr>
          <w:rFonts w:asciiTheme="minorHAnsi" w:hAnsiTheme="minorHAnsi" w:cstheme="minorHAnsi"/>
          <w:lang w:eastAsia="ko-KR"/>
        </w:rPr>
        <w:t xml:space="preserve"> IALA may consider to develop guidance on group B AMRD</w:t>
      </w:r>
      <w:r w:rsidR="004C12F7">
        <w:rPr>
          <w:rFonts w:asciiTheme="minorHAnsi" w:hAnsiTheme="minorHAnsi" w:cstheme="minorHAnsi"/>
          <w:lang w:eastAsia="ko-KR"/>
        </w:rPr>
        <w:t>, e.g. those that use AIS technology</w:t>
      </w:r>
      <w:r>
        <w:rPr>
          <w:rFonts w:asciiTheme="minorHAnsi" w:hAnsiTheme="minorHAnsi" w:cstheme="minorHAnsi"/>
          <w:lang w:eastAsia="ko-KR"/>
        </w:rPr>
        <w:t xml:space="preserve"> </w:t>
      </w:r>
    </w:p>
    <w:p w14:paraId="3EBEC226" w14:textId="77777777" w:rsidR="00C038A5" w:rsidRDefault="006529C7" w:rsidP="00C038A5">
      <w:pPr>
        <w:pStyle w:val="ListParagraph"/>
        <w:numPr>
          <w:ilvl w:val="0"/>
          <w:numId w:val="22"/>
        </w:numPr>
        <w:spacing w:after="160" w:line="259" w:lineRule="auto"/>
        <w:rPr>
          <w:rFonts w:asciiTheme="minorHAnsi" w:hAnsiTheme="minorHAnsi" w:cstheme="minorHAnsi"/>
          <w:lang w:eastAsia="ko-KR"/>
        </w:rPr>
      </w:pPr>
      <w:r w:rsidRPr="008B485F">
        <w:rPr>
          <w:rFonts w:asciiTheme="minorHAnsi" w:hAnsiTheme="minorHAnsi" w:cstheme="minorHAnsi"/>
        </w:rPr>
        <w:t xml:space="preserve">Any </w:t>
      </w:r>
      <w:proofErr w:type="spellStart"/>
      <w:r w:rsidRPr="008B485F">
        <w:rPr>
          <w:rFonts w:asciiTheme="minorHAnsi" w:hAnsiTheme="minorHAnsi" w:cstheme="minorHAnsi"/>
        </w:rPr>
        <w:t>MAtoN</w:t>
      </w:r>
      <w:proofErr w:type="spellEnd"/>
      <w:r w:rsidRPr="008B485F">
        <w:rPr>
          <w:rFonts w:asciiTheme="minorHAnsi" w:hAnsiTheme="minorHAnsi" w:cstheme="minorHAnsi"/>
        </w:rPr>
        <w:t xml:space="preserve"> with </w:t>
      </w:r>
      <w:r w:rsidR="009773EF" w:rsidRPr="008B485F">
        <w:rPr>
          <w:rFonts w:asciiTheme="minorHAnsi" w:hAnsiTheme="minorHAnsi" w:cstheme="minorHAnsi"/>
        </w:rPr>
        <w:t xml:space="preserve">radio </w:t>
      </w:r>
      <w:r w:rsidRPr="008B485F">
        <w:rPr>
          <w:rFonts w:asciiTheme="minorHAnsi" w:hAnsiTheme="minorHAnsi" w:cstheme="minorHAnsi"/>
        </w:rPr>
        <w:t xml:space="preserve">capability </w:t>
      </w:r>
      <w:r w:rsidR="009773EF" w:rsidRPr="008B485F">
        <w:rPr>
          <w:rFonts w:asciiTheme="minorHAnsi" w:hAnsiTheme="minorHAnsi" w:cstheme="minorHAnsi"/>
        </w:rPr>
        <w:t xml:space="preserve">is an AMRD group A. </w:t>
      </w:r>
    </w:p>
    <w:p w14:paraId="14582BCE" w14:textId="78570DF1" w:rsidR="009773EF" w:rsidRPr="008B485F" w:rsidRDefault="009773EF" w:rsidP="00C038A5">
      <w:pPr>
        <w:pStyle w:val="ListParagraph"/>
        <w:numPr>
          <w:ilvl w:val="0"/>
          <w:numId w:val="22"/>
        </w:numPr>
        <w:spacing w:after="160" w:line="259" w:lineRule="auto"/>
        <w:rPr>
          <w:rFonts w:asciiTheme="minorHAnsi" w:hAnsiTheme="minorHAnsi" w:cstheme="minorHAnsi"/>
          <w:lang w:eastAsia="ko-KR"/>
        </w:rPr>
      </w:pPr>
      <w:r w:rsidRPr="008B485F">
        <w:rPr>
          <w:rFonts w:asciiTheme="minorHAnsi" w:hAnsiTheme="minorHAnsi" w:cstheme="minorHAnsi"/>
        </w:rPr>
        <w:t xml:space="preserve">IALA recognises that there will be </w:t>
      </w:r>
      <w:proofErr w:type="spellStart"/>
      <w:r w:rsidRPr="008B485F">
        <w:rPr>
          <w:rFonts w:asciiTheme="minorHAnsi" w:hAnsiTheme="minorHAnsi" w:cstheme="minorHAnsi"/>
        </w:rPr>
        <w:t>MAtoNs</w:t>
      </w:r>
      <w:proofErr w:type="spellEnd"/>
      <w:r w:rsidR="00035E32" w:rsidRPr="002D0FEE">
        <w:rPr>
          <w:rFonts w:asciiTheme="minorHAnsi" w:hAnsiTheme="minorHAnsi" w:cstheme="minorHAnsi"/>
        </w:rPr>
        <w:t xml:space="preserve"> without </w:t>
      </w:r>
      <w:r w:rsidRPr="008B485F">
        <w:rPr>
          <w:rFonts w:asciiTheme="minorHAnsi" w:hAnsiTheme="minorHAnsi" w:cstheme="minorHAnsi"/>
        </w:rPr>
        <w:t xml:space="preserve">radio </w:t>
      </w:r>
      <w:r w:rsidR="00035E32" w:rsidRPr="002D0FEE">
        <w:rPr>
          <w:rFonts w:asciiTheme="minorHAnsi" w:hAnsiTheme="minorHAnsi" w:cstheme="minorHAnsi"/>
        </w:rPr>
        <w:t>capability</w:t>
      </w:r>
      <w:r w:rsidRPr="008B485F">
        <w:rPr>
          <w:rFonts w:asciiTheme="minorHAnsi" w:hAnsiTheme="minorHAnsi" w:cstheme="minorHAnsi"/>
        </w:rPr>
        <w:t>. These are not AMRD</w:t>
      </w:r>
      <w:r w:rsidR="002D0FEE" w:rsidRPr="008B485F">
        <w:rPr>
          <w:rFonts w:asciiTheme="minorHAnsi" w:hAnsiTheme="minorHAnsi" w:cstheme="minorHAnsi"/>
        </w:rPr>
        <w:t xml:space="preserve"> but they are</w:t>
      </w:r>
      <w:r w:rsidRPr="008B485F">
        <w:rPr>
          <w:rFonts w:asciiTheme="minorHAnsi" w:hAnsiTheme="minorHAnsi" w:cstheme="minorHAnsi"/>
        </w:rPr>
        <w:t xml:space="preserve"> </w:t>
      </w:r>
      <w:proofErr w:type="spellStart"/>
      <w:r w:rsidRPr="008B485F">
        <w:rPr>
          <w:rFonts w:asciiTheme="minorHAnsi" w:hAnsiTheme="minorHAnsi" w:cstheme="minorHAnsi"/>
        </w:rPr>
        <w:t>MAtoN</w:t>
      </w:r>
      <w:proofErr w:type="spellEnd"/>
      <w:r w:rsidRPr="008B485F">
        <w:rPr>
          <w:rFonts w:asciiTheme="minorHAnsi" w:hAnsiTheme="minorHAnsi" w:cstheme="minorHAnsi"/>
        </w:rPr>
        <w:t xml:space="preserve"> </w:t>
      </w:r>
      <w:r w:rsidR="002D0FEE" w:rsidRPr="008B485F">
        <w:rPr>
          <w:rFonts w:asciiTheme="minorHAnsi" w:hAnsiTheme="minorHAnsi" w:cstheme="minorHAnsi"/>
        </w:rPr>
        <w:t>and therefore are</w:t>
      </w:r>
      <w:r w:rsidRPr="008B485F">
        <w:rPr>
          <w:rFonts w:asciiTheme="minorHAnsi" w:hAnsiTheme="minorHAnsi" w:cstheme="minorHAnsi"/>
        </w:rPr>
        <w:t xml:space="preserve"> </w:t>
      </w:r>
      <w:r w:rsidRPr="008B485F">
        <w:rPr>
          <w:rFonts w:asciiTheme="minorHAnsi" w:hAnsiTheme="minorHAnsi" w:cstheme="minorHAnsi"/>
          <w:lang w:eastAsia="ko-KR"/>
        </w:rPr>
        <w:t xml:space="preserve">subject to IALA </w:t>
      </w:r>
      <w:r w:rsidR="006529C7" w:rsidRPr="008B485F">
        <w:rPr>
          <w:rFonts w:asciiTheme="minorHAnsi" w:hAnsiTheme="minorHAnsi" w:cstheme="minorHAnsi"/>
          <w:lang w:eastAsia="ko-KR"/>
        </w:rPr>
        <w:t xml:space="preserve">standards, </w:t>
      </w:r>
      <w:r w:rsidRPr="008B485F">
        <w:rPr>
          <w:rFonts w:asciiTheme="minorHAnsi" w:hAnsiTheme="minorHAnsi" w:cstheme="minorHAnsi"/>
          <w:lang w:eastAsia="ko-KR"/>
        </w:rPr>
        <w:t>guidelines and recommendations.</w:t>
      </w:r>
    </w:p>
    <w:p w14:paraId="40669561" w14:textId="31A30648" w:rsidR="008B2E27" w:rsidRPr="008B485F" w:rsidRDefault="00650B50" w:rsidP="008B2E27">
      <w:pPr>
        <w:pStyle w:val="ListParagraph"/>
        <w:numPr>
          <w:ilvl w:val="0"/>
          <w:numId w:val="22"/>
        </w:numPr>
        <w:spacing w:after="160" w:line="259" w:lineRule="auto"/>
        <w:rPr>
          <w:rFonts w:asciiTheme="minorHAnsi" w:hAnsiTheme="minorHAnsi" w:cstheme="minorHAnsi"/>
          <w:lang w:eastAsia="ko-KR"/>
        </w:rPr>
      </w:pPr>
      <w:r>
        <w:rPr>
          <w:rFonts w:asciiTheme="minorHAnsi" w:hAnsiTheme="minorHAnsi" w:cstheme="minorHAnsi"/>
          <w:lang w:eastAsia="ko-KR"/>
        </w:rPr>
        <w:t xml:space="preserve">A new </w:t>
      </w:r>
      <w:r w:rsidR="008B2E27" w:rsidRPr="008B485F">
        <w:rPr>
          <w:rFonts w:asciiTheme="minorHAnsi" w:hAnsiTheme="minorHAnsi" w:cstheme="minorHAnsi"/>
          <w:lang w:eastAsia="ko-KR"/>
        </w:rPr>
        <w:t xml:space="preserve">numbering scheme suggested </w:t>
      </w:r>
      <w:r w:rsidR="006529C7" w:rsidRPr="008B485F">
        <w:rPr>
          <w:rFonts w:asciiTheme="minorHAnsi" w:hAnsiTheme="minorHAnsi" w:cstheme="minorHAnsi"/>
          <w:lang w:eastAsia="ko-KR"/>
        </w:rPr>
        <w:t xml:space="preserve">for AMRDs </w:t>
      </w:r>
      <w:r w:rsidR="00B83389">
        <w:rPr>
          <w:rFonts w:asciiTheme="minorHAnsi" w:hAnsiTheme="minorHAnsi" w:cstheme="minorHAnsi"/>
          <w:lang w:eastAsia="ko-KR"/>
        </w:rPr>
        <w:t xml:space="preserve">group A </w:t>
      </w:r>
      <w:r w:rsidR="008B2E27" w:rsidRPr="008B485F">
        <w:rPr>
          <w:rFonts w:asciiTheme="minorHAnsi" w:hAnsiTheme="minorHAnsi" w:cstheme="minorHAnsi"/>
          <w:lang w:eastAsia="ko-KR"/>
        </w:rPr>
        <w:t>would</w:t>
      </w:r>
      <w:r w:rsidR="006529C7" w:rsidRPr="008B485F">
        <w:rPr>
          <w:rFonts w:asciiTheme="minorHAnsi" w:hAnsiTheme="minorHAnsi" w:cstheme="minorHAnsi"/>
          <w:lang w:eastAsia="ko-KR"/>
        </w:rPr>
        <w:t xml:space="preserve">, </w:t>
      </w:r>
      <w:r w:rsidR="008B2E27" w:rsidRPr="008B485F">
        <w:rPr>
          <w:rFonts w:asciiTheme="minorHAnsi" w:hAnsiTheme="minorHAnsi" w:cstheme="minorHAnsi"/>
          <w:lang w:eastAsia="ko-KR"/>
        </w:rPr>
        <w:t>from a technical point</w:t>
      </w:r>
      <w:r w:rsidR="006529C7" w:rsidRPr="008B485F">
        <w:rPr>
          <w:rFonts w:asciiTheme="minorHAnsi" w:hAnsiTheme="minorHAnsi" w:cstheme="minorHAnsi"/>
          <w:lang w:eastAsia="ko-KR"/>
        </w:rPr>
        <w:t>,</w:t>
      </w:r>
      <w:r w:rsidR="008B2E27" w:rsidRPr="008B485F">
        <w:rPr>
          <w:rFonts w:asciiTheme="minorHAnsi" w:hAnsiTheme="minorHAnsi" w:cstheme="minorHAnsi"/>
          <w:lang w:eastAsia="ko-KR"/>
        </w:rPr>
        <w:t xml:space="preserve"> not be necessary because:</w:t>
      </w:r>
    </w:p>
    <w:p w14:paraId="62A1C11E" w14:textId="190E0220" w:rsidR="008B2E27" w:rsidRPr="00524FAB" w:rsidRDefault="008B2E27" w:rsidP="008B485F">
      <w:pPr>
        <w:pStyle w:val="ListParagraph"/>
        <w:numPr>
          <w:ilvl w:val="1"/>
          <w:numId w:val="22"/>
        </w:numPr>
        <w:spacing w:after="160" w:line="259" w:lineRule="auto"/>
        <w:rPr>
          <w:rFonts w:asciiTheme="minorHAnsi" w:hAnsiTheme="minorHAnsi" w:cstheme="minorHAnsi"/>
          <w:lang w:eastAsia="ko-KR"/>
        </w:rPr>
      </w:pPr>
      <w:r w:rsidRPr="008B485F">
        <w:rPr>
          <w:rFonts w:asciiTheme="minorHAnsi" w:hAnsiTheme="minorHAnsi" w:cstheme="minorHAnsi"/>
          <w:lang w:eastAsia="ko-KR"/>
        </w:rPr>
        <w:t>ITU-R M.585</w:t>
      </w:r>
      <w:r w:rsidR="00B83389" w:rsidRPr="00D143F1">
        <w:rPr>
          <w:rFonts w:asciiTheme="minorHAnsi" w:hAnsiTheme="minorHAnsi" w:cstheme="minorHAnsi"/>
          <w:lang w:eastAsia="ko-KR"/>
        </w:rPr>
        <w:t xml:space="preserve"> has a MMSI numbering scheme</w:t>
      </w:r>
      <w:r w:rsidRPr="008B485F">
        <w:rPr>
          <w:rFonts w:asciiTheme="minorHAnsi" w:hAnsiTheme="minorHAnsi" w:cstheme="minorHAnsi"/>
          <w:lang w:eastAsia="ko-KR"/>
        </w:rPr>
        <w:t xml:space="preserve"> </w:t>
      </w:r>
      <w:r w:rsidR="00B83389" w:rsidRPr="00D143F1">
        <w:rPr>
          <w:rFonts w:asciiTheme="minorHAnsi" w:hAnsiTheme="minorHAnsi" w:cstheme="minorHAnsi"/>
          <w:lang w:eastAsia="ko-KR"/>
        </w:rPr>
        <w:t xml:space="preserve">for AIS </w:t>
      </w:r>
      <w:proofErr w:type="spellStart"/>
      <w:r w:rsidR="00B83389" w:rsidRPr="00D143F1">
        <w:rPr>
          <w:rFonts w:asciiTheme="minorHAnsi" w:hAnsiTheme="minorHAnsi" w:cstheme="minorHAnsi"/>
          <w:lang w:eastAsia="ko-KR"/>
        </w:rPr>
        <w:t>AtoNs</w:t>
      </w:r>
      <w:proofErr w:type="spellEnd"/>
      <w:r w:rsidR="00B83389" w:rsidRPr="00D143F1">
        <w:rPr>
          <w:rFonts w:asciiTheme="minorHAnsi" w:hAnsiTheme="minorHAnsi" w:cstheme="minorHAnsi"/>
          <w:lang w:eastAsia="ko-KR"/>
        </w:rPr>
        <w:t xml:space="preserve"> that is suitable for </w:t>
      </w:r>
      <w:proofErr w:type="spellStart"/>
      <w:r w:rsidR="00B83389" w:rsidRPr="00D143F1">
        <w:rPr>
          <w:rFonts w:asciiTheme="minorHAnsi" w:hAnsiTheme="minorHAnsi" w:cstheme="minorHAnsi"/>
          <w:lang w:eastAsia="ko-KR"/>
        </w:rPr>
        <w:t>MAtoNs</w:t>
      </w:r>
      <w:proofErr w:type="spellEnd"/>
      <w:r w:rsidR="00B83389" w:rsidRPr="00D143F1">
        <w:rPr>
          <w:rFonts w:asciiTheme="minorHAnsi" w:hAnsiTheme="minorHAnsi" w:cstheme="minorHAnsi"/>
          <w:lang w:eastAsia="ko-KR"/>
        </w:rPr>
        <w:t xml:space="preserve"> and also has a numbering scheme for </w:t>
      </w:r>
      <w:r w:rsidR="00B83389" w:rsidRPr="00524FAB">
        <w:rPr>
          <w:rFonts w:asciiTheme="minorHAnsi" w:hAnsiTheme="minorHAnsi" w:cstheme="minorHAnsi"/>
          <w:lang w:eastAsia="ko-KR"/>
        </w:rPr>
        <w:t>MOB Class M (group A AMRD)</w:t>
      </w:r>
    </w:p>
    <w:p w14:paraId="49744E9B" w14:textId="10F6C99E" w:rsidR="00DB1CB5" w:rsidRPr="008B485F" w:rsidRDefault="00DB1CB5" w:rsidP="008B485F">
      <w:pPr>
        <w:pStyle w:val="ListParagraph"/>
        <w:numPr>
          <w:ilvl w:val="1"/>
          <w:numId w:val="22"/>
        </w:numPr>
        <w:spacing w:after="160" w:line="259" w:lineRule="auto"/>
        <w:rPr>
          <w:rFonts w:asciiTheme="minorHAnsi" w:hAnsiTheme="minorHAnsi" w:cstheme="minorHAnsi"/>
          <w:lang w:eastAsia="ko-KR"/>
        </w:rPr>
      </w:pPr>
      <w:r w:rsidRPr="008B485F">
        <w:rPr>
          <w:rFonts w:asciiTheme="minorHAnsi" w:hAnsiTheme="minorHAnsi" w:cstheme="minorHAnsi"/>
        </w:rPr>
        <w:t>It is important to recognise that the competent authority remains responsible for</w:t>
      </w:r>
      <w:r w:rsidRPr="00524FAB">
        <w:t xml:space="preserve"> </w:t>
      </w:r>
      <w:r w:rsidRPr="008B485F">
        <w:rPr>
          <w:rFonts w:asciiTheme="minorHAnsi" w:hAnsiTheme="minorHAnsi" w:cstheme="minorHAnsi"/>
        </w:rPr>
        <w:t xml:space="preserve">the establishment and operation of Aids to Navigation. The use of the existing MMSI numbering scheme for AIS Aids to Navigation will ensure </w:t>
      </w:r>
      <w:proofErr w:type="spellStart"/>
      <w:r w:rsidRPr="008B485F">
        <w:rPr>
          <w:rFonts w:asciiTheme="minorHAnsi" w:hAnsiTheme="minorHAnsi" w:cstheme="minorHAnsi"/>
        </w:rPr>
        <w:t>MAtoN</w:t>
      </w:r>
      <w:proofErr w:type="spellEnd"/>
      <w:r w:rsidRPr="008B485F">
        <w:rPr>
          <w:rFonts w:asciiTheme="minorHAnsi" w:hAnsiTheme="minorHAnsi" w:cstheme="minorHAnsi"/>
        </w:rPr>
        <w:t xml:space="preserve"> applicants go through the regulatory approval process.</w:t>
      </w:r>
    </w:p>
    <w:p w14:paraId="66A16DBD" w14:textId="091A3E68" w:rsidR="00572ECC" w:rsidRPr="008B485F" w:rsidRDefault="00572ECC" w:rsidP="008B485F">
      <w:pPr>
        <w:pStyle w:val="ListParagraph"/>
        <w:numPr>
          <w:ilvl w:val="1"/>
          <w:numId w:val="22"/>
        </w:numPr>
        <w:spacing w:after="160" w:line="259" w:lineRule="auto"/>
        <w:rPr>
          <w:rFonts w:asciiTheme="minorHAnsi" w:hAnsiTheme="minorHAnsi" w:cstheme="minorHAnsi"/>
          <w:lang w:eastAsia="ko-KR"/>
        </w:rPr>
      </w:pPr>
      <w:r w:rsidRPr="008B485F">
        <w:rPr>
          <w:rFonts w:asciiTheme="minorHAnsi" w:hAnsiTheme="minorHAnsi" w:cstheme="minorHAnsi"/>
        </w:rPr>
        <w:t xml:space="preserve">Without a regulatory approval process, it is possible that competent authorities would have no control over the deployment of </w:t>
      </w:r>
      <w:proofErr w:type="spellStart"/>
      <w:r w:rsidRPr="008B485F">
        <w:rPr>
          <w:rFonts w:asciiTheme="minorHAnsi" w:hAnsiTheme="minorHAnsi" w:cstheme="minorHAnsi"/>
        </w:rPr>
        <w:t>MAtoNs</w:t>
      </w:r>
      <w:proofErr w:type="spellEnd"/>
      <w:r w:rsidRPr="008B485F">
        <w:rPr>
          <w:rFonts w:asciiTheme="minorHAnsi" w:hAnsiTheme="minorHAnsi" w:cstheme="minorHAnsi"/>
        </w:rPr>
        <w:t xml:space="preserve">. </w:t>
      </w:r>
    </w:p>
    <w:p w14:paraId="0D0A934E" w14:textId="6A557D99" w:rsidR="00DB1CB5" w:rsidRPr="008B485F" w:rsidRDefault="00DB1CB5" w:rsidP="008B485F">
      <w:pPr>
        <w:pStyle w:val="ListParagraph"/>
        <w:numPr>
          <w:ilvl w:val="1"/>
          <w:numId w:val="22"/>
        </w:numPr>
        <w:spacing w:after="160" w:line="259" w:lineRule="auto"/>
        <w:rPr>
          <w:rFonts w:asciiTheme="minorHAnsi" w:hAnsiTheme="minorHAnsi" w:cstheme="minorHAnsi"/>
          <w:lang w:eastAsia="ko-KR"/>
        </w:rPr>
      </w:pPr>
      <w:r w:rsidRPr="008B485F">
        <w:rPr>
          <w:rFonts w:asciiTheme="minorHAnsi" w:hAnsiTheme="minorHAnsi" w:cstheme="minorHAnsi"/>
        </w:rPr>
        <w:lastRenderedPageBreak/>
        <w:t xml:space="preserve">There are concerns that using a manufacturer issued </w:t>
      </w:r>
      <w:r w:rsidR="00D143F1" w:rsidRPr="008B485F">
        <w:rPr>
          <w:rFonts w:asciiTheme="minorHAnsi" w:hAnsiTheme="minorHAnsi" w:cstheme="minorHAnsi"/>
        </w:rPr>
        <w:t xml:space="preserve">identity for </w:t>
      </w:r>
      <w:proofErr w:type="spellStart"/>
      <w:r w:rsidR="00D143F1" w:rsidRPr="008B485F">
        <w:rPr>
          <w:rFonts w:asciiTheme="minorHAnsi" w:hAnsiTheme="minorHAnsi" w:cstheme="minorHAnsi"/>
        </w:rPr>
        <w:t>MAtoNs</w:t>
      </w:r>
      <w:proofErr w:type="spellEnd"/>
      <w:r w:rsidR="00D143F1" w:rsidRPr="008B485F">
        <w:rPr>
          <w:rFonts w:asciiTheme="minorHAnsi" w:hAnsiTheme="minorHAnsi" w:cstheme="minorHAnsi"/>
        </w:rPr>
        <w:t xml:space="preserve"> will result in uncontrolled deployment of these devices</w:t>
      </w:r>
      <w:r w:rsidR="00572ECC" w:rsidRPr="008B485F">
        <w:rPr>
          <w:rFonts w:asciiTheme="minorHAnsi" w:hAnsiTheme="minorHAnsi" w:cstheme="minorHAnsi"/>
        </w:rPr>
        <w:t xml:space="preserve"> and interpretation of what is </w:t>
      </w:r>
      <w:r w:rsidR="00DB3F2B">
        <w:rPr>
          <w:rFonts w:asciiTheme="minorHAnsi" w:hAnsiTheme="minorHAnsi" w:cstheme="minorHAnsi"/>
        </w:rPr>
        <w:t>conside</w:t>
      </w:r>
      <w:r w:rsidR="002D4379">
        <w:rPr>
          <w:rFonts w:asciiTheme="minorHAnsi" w:hAnsiTheme="minorHAnsi" w:cstheme="minorHAnsi"/>
        </w:rPr>
        <w:t>re</w:t>
      </w:r>
      <w:r w:rsidR="00DB3F2B" w:rsidRPr="00DB3F2B">
        <w:rPr>
          <w:rFonts w:asciiTheme="minorHAnsi" w:hAnsiTheme="minorHAnsi" w:cstheme="minorHAnsi"/>
        </w:rPr>
        <w:t>d</w:t>
      </w:r>
      <w:r w:rsidR="00572ECC" w:rsidRPr="008B485F">
        <w:rPr>
          <w:rFonts w:asciiTheme="minorHAnsi" w:hAnsiTheme="minorHAnsi" w:cstheme="minorHAnsi"/>
        </w:rPr>
        <w:t xml:space="preserve"> a </w:t>
      </w:r>
      <w:proofErr w:type="spellStart"/>
      <w:r w:rsidR="00572ECC" w:rsidRPr="008B485F">
        <w:rPr>
          <w:rFonts w:asciiTheme="minorHAnsi" w:hAnsiTheme="minorHAnsi" w:cstheme="minorHAnsi"/>
        </w:rPr>
        <w:t>MAtoN</w:t>
      </w:r>
      <w:proofErr w:type="spellEnd"/>
    </w:p>
    <w:p w14:paraId="16998D97" w14:textId="6EC72176" w:rsidR="00D305F8" w:rsidRDefault="00D305F8" w:rsidP="008B485F">
      <w:pPr>
        <w:pStyle w:val="ListParagraph"/>
        <w:numPr>
          <w:ilvl w:val="1"/>
          <w:numId w:val="22"/>
        </w:numPr>
        <w:spacing w:after="160" w:line="259" w:lineRule="auto"/>
        <w:rPr>
          <w:rFonts w:asciiTheme="minorHAnsi" w:hAnsiTheme="minorHAnsi" w:cstheme="minorHAnsi"/>
          <w:lang w:eastAsia="ko-KR"/>
        </w:rPr>
      </w:pPr>
      <w:r>
        <w:rPr>
          <w:rFonts w:asciiTheme="minorHAnsi" w:hAnsiTheme="minorHAnsi" w:cstheme="minorHAnsi"/>
          <w:lang w:eastAsia="ko-KR"/>
        </w:rPr>
        <w:t xml:space="preserve">A new AIS message which include COG and SOG </w:t>
      </w:r>
      <w:r w:rsidR="003B4691">
        <w:rPr>
          <w:rFonts w:asciiTheme="minorHAnsi" w:hAnsiTheme="minorHAnsi" w:cstheme="minorHAnsi"/>
          <w:lang w:eastAsia="ko-KR"/>
        </w:rPr>
        <w:t>should</w:t>
      </w:r>
      <w:r>
        <w:rPr>
          <w:rFonts w:asciiTheme="minorHAnsi" w:hAnsiTheme="minorHAnsi" w:cstheme="minorHAnsi"/>
          <w:lang w:eastAsia="ko-KR"/>
        </w:rPr>
        <w:t xml:space="preserve"> be defined</w:t>
      </w:r>
      <w:r w:rsidR="003B4691">
        <w:rPr>
          <w:rFonts w:asciiTheme="minorHAnsi" w:hAnsiTheme="minorHAnsi" w:cstheme="minorHAnsi"/>
          <w:lang w:eastAsia="ko-KR"/>
        </w:rPr>
        <w:t xml:space="preserve"> in</w:t>
      </w:r>
      <w:r>
        <w:rPr>
          <w:rFonts w:asciiTheme="minorHAnsi" w:hAnsiTheme="minorHAnsi" w:cstheme="minorHAnsi"/>
          <w:lang w:eastAsia="ko-KR"/>
        </w:rPr>
        <w:t xml:space="preserve"> ITU-R M.1371 for </w:t>
      </w:r>
      <w:proofErr w:type="spellStart"/>
      <w:r>
        <w:rPr>
          <w:rFonts w:asciiTheme="minorHAnsi" w:hAnsiTheme="minorHAnsi" w:cstheme="minorHAnsi"/>
          <w:lang w:eastAsia="ko-KR"/>
        </w:rPr>
        <w:t>MAtoN</w:t>
      </w:r>
      <w:proofErr w:type="spellEnd"/>
      <w:r>
        <w:rPr>
          <w:rFonts w:asciiTheme="minorHAnsi" w:hAnsiTheme="minorHAnsi" w:cstheme="minorHAnsi"/>
          <w:lang w:eastAsia="ko-KR"/>
        </w:rPr>
        <w:t xml:space="preserve"> use.</w:t>
      </w:r>
    </w:p>
    <w:p w14:paraId="1C2210EB" w14:textId="23ED7639" w:rsidR="008B2E27" w:rsidRDefault="00D305F8" w:rsidP="008B485F">
      <w:pPr>
        <w:pStyle w:val="ListParagraph"/>
        <w:numPr>
          <w:ilvl w:val="1"/>
          <w:numId w:val="22"/>
        </w:numPr>
        <w:spacing w:after="160" w:line="259" w:lineRule="auto"/>
        <w:rPr>
          <w:rFonts w:asciiTheme="minorHAnsi" w:hAnsiTheme="minorHAnsi" w:cstheme="minorHAnsi"/>
          <w:lang w:eastAsia="ko-KR"/>
        </w:rPr>
      </w:pPr>
      <w:r>
        <w:rPr>
          <w:rFonts w:asciiTheme="minorHAnsi" w:hAnsiTheme="minorHAnsi" w:cstheme="minorHAnsi"/>
          <w:lang w:eastAsia="ko-KR"/>
        </w:rPr>
        <w:t>In the interim m</w:t>
      </w:r>
      <w:r w:rsidR="006529C7" w:rsidRPr="008B485F">
        <w:rPr>
          <w:rFonts w:asciiTheme="minorHAnsi" w:hAnsiTheme="minorHAnsi" w:cstheme="minorHAnsi"/>
          <w:lang w:eastAsia="ko-KR"/>
        </w:rPr>
        <w:t>essage 21 has the capability to indicate f</w:t>
      </w:r>
      <w:r w:rsidR="008B2E27" w:rsidRPr="008B485F">
        <w:rPr>
          <w:rFonts w:asciiTheme="minorHAnsi" w:hAnsiTheme="minorHAnsi" w:cstheme="minorHAnsi"/>
          <w:lang w:eastAsia="ko-KR"/>
        </w:rPr>
        <w:t>loating off shore structures that are not fixed</w:t>
      </w:r>
      <w:r>
        <w:rPr>
          <w:rFonts w:asciiTheme="minorHAnsi" w:hAnsiTheme="minorHAnsi" w:cstheme="minorHAnsi"/>
          <w:lang w:eastAsia="ko-KR"/>
        </w:rPr>
        <w:t xml:space="preserve"> (</w:t>
      </w:r>
      <w:r w:rsidRPr="00D305F8">
        <w:rPr>
          <w:rFonts w:asciiTheme="minorHAnsi" w:hAnsiTheme="minorHAnsi" w:cstheme="minorHAnsi"/>
          <w:lang w:eastAsia="ko-KR"/>
        </w:rPr>
        <w:t>Type of aids-to</w:t>
      </w:r>
      <w:r>
        <w:rPr>
          <w:rFonts w:asciiTheme="minorHAnsi" w:hAnsiTheme="minorHAnsi" w:cstheme="minorHAnsi"/>
          <w:lang w:eastAsia="ko-KR"/>
        </w:rPr>
        <w:t>-</w:t>
      </w:r>
      <w:r w:rsidRPr="00D305F8">
        <w:rPr>
          <w:rFonts w:asciiTheme="minorHAnsi" w:hAnsiTheme="minorHAnsi" w:cstheme="minorHAnsi"/>
          <w:lang w:eastAsia="ko-KR"/>
        </w:rPr>
        <w:t>navigation</w:t>
      </w:r>
      <w:r>
        <w:rPr>
          <w:rFonts w:asciiTheme="minorHAnsi" w:hAnsiTheme="minorHAnsi" w:cstheme="minorHAnsi"/>
          <w:lang w:eastAsia="ko-KR"/>
        </w:rPr>
        <w:t xml:space="preserve"> code 31)</w:t>
      </w:r>
      <w:r w:rsidR="006529C7" w:rsidRPr="008B485F">
        <w:rPr>
          <w:rFonts w:asciiTheme="minorHAnsi" w:hAnsiTheme="minorHAnsi" w:cstheme="minorHAnsi"/>
          <w:lang w:eastAsia="ko-KR"/>
        </w:rPr>
        <w:t xml:space="preserve">. This </w:t>
      </w:r>
      <w:r>
        <w:rPr>
          <w:rFonts w:asciiTheme="minorHAnsi" w:hAnsiTheme="minorHAnsi" w:cstheme="minorHAnsi"/>
          <w:lang w:eastAsia="ko-KR"/>
        </w:rPr>
        <w:t>should</w:t>
      </w:r>
      <w:r w:rsidR="006529C7" w:rsidRPr="008B485F">
        <w:rPr>
          <w:rFonts w:asciiTheme="minorHAnsi" w:hAnsiTheme="minorHAnsi" w:cstheme="minorHAnsi"/>
          <w:lang w:eastAsia="ko-KR"/>
        </w:rPr>
        <w:t xml:space="preserve"> be used for </w:t>
      </w:r>
      <w:proofErr w:type="spellStart"/>
      <w:r w:rsidR="006529C7" w:rsidRPr="008B485F">
        <w:rPr>
          <w:rFonts w:asciiTheme="minorHAnsi" w:hAnsiTheme="minorHAnsi" w:cstheme="minorHAnsi"/>
          <w:lang w:eastAsia="ko-KR"/>
        </w:rPr>
        <w:t>MAtoNs</w:t>
      </w:r>
      <w:proofErr w:type="spellEnd"/>
      <w:r w:rsidR="003B4691">
        <w:rPr>
          <w:rFonts w:asciiTheme="minorHAnsi" w:hAnsiTheme="minorHAnsi" w:cstheme="minorHAnsi"/>
          <w:lang w:eastAsia="ko-KR"/>
        </w:rPr>
        <w:t xml:space="preserve"> but COG and SOG will not be available</w:t>
      </w:r>
      <w:r w:rsidR="006529C7" w:rsidRPr="008B485F">
        <w:rPr>
          <w:rFonts w:asciiTheme="minorHAnsi" w:hAnsiTheme="minorHAnsi" w:cstheme="minorHAnsi"/>
          <w:lang w:eastAsia="ko-KR"/>
        </w:rPr>
        <w:t xml:space="preserve">.  Table </w:t>
      </w:r>
      <w:r w:rsidR="008B2E27" w:rsidRPr="008B485F">
        <w:rPr>
          <w:rFonts w:asciiTheme="minorHAnsi" w:hAnsiTheme="minorHAnsi" w:cstheme="minorHAnsi"/>
          <w:lang w:eastAsia="ko-KR"/>
        </w:rPr>
        <w:t>7</w:t>
      </w:r>
      <w:r>
        <w:rPr>
          <w:rFonts w:asciiTheme="minorHAnsi" w:hAnsiTheme="minorHAnsi" w:cstheme="minorHAnsi"/>
          <w:lang w:eastAsia="ko-KR"/>
        </w:rPr>
        <w:t>4</w:t>
      </w:r>
      <w:r w:rsidR="008B2E27" w:rsidRPr="008B485F">
        <w:rPr>
          <w:rFonts w:asciiTheme="minorHAnsi" w:hAnsiTheme="minorHAnsi" w:cstheme="minorHAnsi"/>
          <w:lang w:eastAsia="ko-KR"/>
        </w:rPr>
        <w:t xml:space="preserve"> of the ITU-R M.1371</w:t>
      </w:r>
      <w:r w:rsidRPr="00D305F8">
        <w:rPr>
          <w:rFonts w:asciiTheme="minorHAnsi" w:hAnsiTheme="minorHAnsi" w:cstheme="minorHAnsi"/>
          <w:lang w:eastAsia="ko-KR"/>
        </w:rPr>
        <w:t xml:space="preserve">-5 needs to be </w:t>
      </w:r>
      <w:r>
        <w:rPr>
          <w:rFonts w:asciiTheme="minorHAnsi" w:hAnsiTheme="minorHAnsi" w:cstheme="minorHAnsi"/>
          <w:lang w:eastAsia="ko-KR"/>
        </w:rPr>
        <w:t>revised</w:t>
      </w:r>
      <w:r w:rsidRPr="00D305F8">
        <w:rPr>
          <w:rFonts w:asciiTheme="minorHAnsi" w:hAnsiTheme="minorHAnsi" w:cstheme="minorHAnsi"/>
          <w:lang w:eastAsia="ko-KR"/>
        </w:rPr>
        <w:t xml:space="preserve"> </w:t>
      </w:r>
      <w:r>
        <w:rPr>
          <w:rFonts w:asciiTheme="minorHAnsi" w:hAnsiTheme="minorHAnsi" w:cstheme="minorHAnsi"/>
          <w:lang w:eastAsia="ko-KR"/>
        </w:rPr>
        <w:t>to reflect this</w:t>
      </w:r>
      <w:r w:rsidR="00B86C0E" w:rsidRPr="008B485F">
        <w:rPr>
          <w:rFonts w:asciiTheme="minorHAnsi" w:hAnsiTheme="minorHAnsi" w:cstheme="minorHAnsi"/>
          <w:lang w:eastAsia="ko-KR"/>
        </w:rPr>
        <w:t>;</w:t>
      </w:r>
    </w:p>
    <w:p w14:paraId="159531C4" w14:textId="68023796" w:rsidR="009773EF" w:rsidRDefault="003B4691" w:rsidP="008B485F">
      <w:pPr>
        <w:pStyle w:val="ListParagraph"/>
        <w:numPr>
          <w:ilvl w:val="1"/>
          <w:numId w:val="22"/>
        </w:numPr>
        <w:spacing w:after="160" w:line="259" w:lineRule="auto"/>
        <w:rPr>
          <w:rFonts w:asciiTheme="minorHAnsi" w:hAnsiTheme="minorHAnsi" w:cstheme="minorHAnsi"/>
          <w:lang w:eastAsia="ko-KR"/>
        </w:rPr>
      </w:pPr>
      <w:r>
        <w:rPr>
          <w:rFonts w:asciiTheme="minorHAnsi" w:hAnsiTheme="minorHAnsi" w:cstheme="minorHAnsi"/>
          <w:lang w:eastAsia="ko-KR"/>
        </w:rPr>
        <w:t xml:space="preserve">The </w:t>
      </w:r>
      <w:r w:rsidRPr="003B4691">
        <w:rPr>
          <w:rFonts w:asciiTheme="minorHAnsi" w:hAnsiTheme="minorHAnsi" w:cstheme="minorHAnsi"/>
          <w:lang w:eastAsia="ko-KR"/>
        </w:rPr>
        <w:t>Name of Aids-to-</w:t>
      </w:r>
      <w:r w:rsidRPr="008B485F">
        <w:rPr>
          <w:rFonts w:asciiTheme="minorHAnsi" w:hAnsiTheme="minorHAnsi" w:cstheme="minorHAnsi"/>
          <w:lang w:eastAsia="ko-KR"/>
        </w:rPr>
        <w:t>Navigation</w:t>
      </w:r>
      <w:r>
        <w:rPr>
          <w:rFonts w:asciiTheme="minorHAnsi" w:hAnsiTheme="minorHAnsi" w:cstheme="minorHAnsi"/>
          <w:lang w:eastAsia="ko-KR"/>
        </w:rPr>
        <w:t xml:space="preserve"> field in message 21 should reflect the mobile nature of the </w:t>
      </w:r>
      <w:proofErr w:type="spellStart"/>
      <w:r>
        <w:rPr>
          <w:rFonts w:asciiTheme="minorHAnsi" w:hAnsiTheme="minorHAnsi" w:cstheme="minorHAnsi"/>
          <w:lang w:eastAsia="ko-KR"/>
        </w:rPr>
        <w:t>AtoN</w:t>
      </w:r>
      <w:proofErr w:type="spellEnd"/>
      <w:r>
        <w:rPr>
          <w:rFonts w:asciiTheme="minorHAnsi" w:hAnsiTheme="minorHAnsi" w:cstheme="minorHAnsi"/>
          <w:lang w:eastAsia="ko-KR"/>
        </w:rPr>
        <w:t>.</w:t>
      </w:r>
      <w:r w:rsidR="009B0CBF">
        <w:rPr>
          <w:rFonts w:asciiTheme="minorHAnsi" w:hAnsiTheme="minorHAnsi" w:cstheme="minorHAnsi"/>
          <w:lang w:eastAsia="ko-KR"/>
        </w:rPr>
        <w:t xml:space="preserve"> E.g. “MOBILE MARKER DRIFTING CONTAINER”</w:t>
      </w:r>
    </w:p>
    <w:p w14:paraId="381B5F4B" w14:textId="08541E41" w:rsidR="006B2577" w:rsidRPr="008B485F" w:rsidRDefault="006B2577" w:rsidP="008B485F">
      <w:pPr>
        <w:pStyle w:val="ListParagraph"/>
        <w:numPr>
          <w:ilvl w:val="0"/>
          <w:numId w:val="22"/>
        </w:numPr>
        <w:spacing w:after="160" w:line="259" w:lineRule="auto"/>
        <w:rPr>
          <w:rFonts w:asciiTheme="minorHAnsi" w:hAnsiTheme="minorHAnsi" w:cstheme="minorHAnsi"/>
          <w:lang w:eastAsia="ko-KR"/>
        </w:rPr>
      </w:pPr>
      <w:r>
        <w:rPr>
          <w:rFonts w:asciiTheme="minorHAnsi" w:hAnsiTheme="minorHAnsi" w:cstheme="minorHAnsi"/>
          <w:lang w:eastAsia="ko-KR"/>
        </w:rPr>
        <w:t>With regard to stipulating height in annex 1 of ITU “</w:t>
      </w:r>
      <w:r w:rsidRPr="006B2577">
        <w:rPr>
          <w:rFonts w:asciiTheme="minorHAnsi" w:hAnsiTheme="minorHAnsi" w:cstheme="minorHAnsi"/>
          <w:lang w:eastAsia="ko-KR"/>
        </w:rPr>
        <w:t>WORKING DOCUMENT TOWARDS A PRELIMINARY DRAFT NEW RECOMMENDATION ITU-R M.[AMRD]</w:t>
      </w:r>
      <w:r>
        <w:rPr>
          <w:rFonts w:asciiTheme="minorHAnsi" w:hAnsiTheme="minorHAnsi" w:cstheme="minorHAnsi"/>
          <w:lang w:eastAsia="ko-KR"/>
        </w:rPr>
        <w:t xml:space="preserve">”. The height of </w:t>
      </w:r>
      <w:proofErr w:type="spellStart"/>
      <w:r>
        <w:rPr>
          <w:rFonts w:asciiTheme="minorHAnsi" w:hAnsiTheme="minorHAnsi" w:cstheme="minorHAnsi"/>
          <w:lang w:eastAsia="ko-KR"/>
        </w:rPr>
        <w:t>MAtoN</w:t>
      </w:r>
      <w:proofErr w:type="spellEnd"/>
      <w:r>
        <w:rPr>
          <w:rFonts w:asciiTheme="minorHAnsi" w:hAnsiTheme="minorHAnsi" w:cstheme="minorHAnsi"/>
          <w:lang w:eastAsia="ko-KR"/>
        </w:rPr>
        <w:t xml:space="preserve"> antenna will vary depending on the situation. E.g. drifting container vs drifting wreck. Also</w:t>
      </w:r>
      <w:r w:rsidR="008B485F">
        <w:rPr>
          <w:rFonts w:asciiTheme="minorHAnsi" w:hAnsiTheme="minorHAnsi" w:cstheme="minorHAnsi"/>
          <w:lang w:eastAsia="ko-KR"/>
        </w:rPr>
        <w:t>,</w:t>
      </w:r>
      <w:r>
        <w:rPr>
          <w:rFonts w:asciiTheme="minorHAnsi" w:hAnsiTheme="minorHAnsi" w:cstheme="minorHAnsi"/>
          <w:lang w:eastAsia="ko-KR"/>
        </w:rPr>
        <w:t xml:space="preserve"> the power of </w:t>
      </w:r>
      <w:proofErr w:type="spellStart"/>
      <w:r>
        <w:rPr>
          <w:rFonts w:asciiTheme="minorHAnsi" w:hAnsiTheme="minorHAnsi" w:cstheme="minorHAnsi"/>
          <w:lang w:eastAsia="ko-KR"/>
        </w:rPr>
        <w:t>MAtoN</w:t>
      </w:r>
      <w:proofErr w:type="spellEnd"/>
      <w:r>
        <w:rPr>
          <w:rFonts w:asciiTheme="minorHAnsi" w:hAnsiTheme="minorHAnsi" w:cstheme="minorHAnsi"/>
          <w:lang w:eastAsia="ko-KR"/>
        </w:rPr>
        <w:t xml:space="preserve"> should be in line with</w:t>
      </w:r>
      <w:r w:rsidR="00747B5E" w:rsidRPr="00747B5E">
        <w:rPr>
          <w:rFonts w:asciiTheme="minorHAnsi" w:hAnsiTheme="minorHAnsi" w:cstheme="minorHAnsi"/>
          <w:lang w:eastAsia="ko-KR"/>
        </w:rPr>
        <w:t xml:space="preserve"> </w:t>
      </w:r>
      <w:r w:rsidR="00747B5E">
        <w:rPr>
          <w:rFonts w:asciiTheme="minorHAnsi" w:hAnsiTheme="minorHAnsi" w:cstheme="minorHAnsi"/>
          <w:lang w:eastAsia="ko-KR"/>
        </w:rPr>
        <w:t xml:space="preserve">the recommendation contained in </w:t>
      </w:r>
      <w:r>
        <w:rPr>
          <w:rFonts w:asciiTheme="minorHAnsi" w:hAnsiTheme="minorHAnsi" w:cstheme="minorHAnsi"/>
          <w:lang w:eastAsia="ko-KR"/>
        </w:rPr>
        <w:t xml:space="preserve">ITU-R M.1371-5 for AIS </w:t>
      </w:r>
      <w:proofErr w:type="spellStart"/>
      <w:r>
        <w:rPr>
          <w:rFonts w:asciiTheme="minorHAnsi" w:hAnsiTheme="minorHAnsi" w:cstheme="minorHAnsi"/>
          <w:lang w:eastAsia="ko-KR"/>
        </w:rPr>
        <w:t>AtoN</w:t>
      </w:r>
      <w:proofErr w:type="spellEnd"/>
      <w:r>
        <w:rPr>
          <w:rFonts w:asciiTheme="minorHAnsi" w:hAnsiTheme="minorHAnsi" w:cstheme="minorHAnsi"/>
          <w:lang w:eastAsia="ko-KR"/>
        </w:rPr>
        <w:t xml:space="preserve"> station </w:t>
      </w:r>
      <w:r w:rsidR="001624E8">
        <w:rPr>
          <w:rFonts w:asciiTheme="minorHAnsi" w:hAnsiTheme="minorHAnsi" w:cstheme="minorHAnsi"/>
          <w:lang w:eastAsia="ko-KR"/>
        </w:rPr>
        <w:t xml:space="preserve">RF </w:t>
      </w:r>
      <w:r>
        <w:rPr>
          <w:rFonts w:asciiTheme="minorHAnsi" w:hAnsiTheme="minorHAnsi" w:cstheme="minorHAnsi"/>
          <w:lang w:eastAsia="ko-KR"/>
        </w:rPr>
        <w:t>power, i.e. 1 Watt or 12,5 Watts</w:t>
      </w:r>
    </w:p>
    <w:p w14:paraId="17A2DAF6" w14:textId="77777777" w:rsidR="00DC58BA" w:rsidRDefault="00DC58BA" w:rsidP="00126B79">
      <w:pPr>
        <w:pStyle w:val="BodyText"/>
        <w:rPr>
          <w:lang w:eastAsia="ja-JP"/>
        </w:rPr>
      </w:pPr>
    </w:p>
    <w:p w14:paraId="5DB6D007" w14:textId="77777777" w:rsidR="00A446C9" w:rsidRPr="007A395D" w:rsidRDefault="00A446C9" w:rsidP="00605E43">
      <w:pPr>
        <w:pStyle w:val="Heading1"/>
      </w:pPr>
      <w:r w:rsidRPr="007A395D">
        <w:t>Action requested of the Committee</w:t>
      </w:r>
    </w:p>
    <w:p w14:paraId="49579361" w14:textId="77777777" w:rsidR="000005D3" w:rsidRPr="007A395D" w:rsidRDefault="00F25BF4" w:rsidP="0046005E">
      <w:pPr>
        <w:pStyle w:val="BodyText"/>
        <w:rPr>
          <w:lang w:eastAsia="ja-JP"/>
        </w:rPr>
      </w:pPr>
      <w:r w:rsidRPr="007A395D">
        <w:t>The Committee</w:t>
      </w:r>
      <w:r w:rsidR="0040010A">
        <w:t xml:space="preserve"> is</w:t>
      </w:r>
      <w:r w:rsidRPr="007A395D">
        <w:t xml:space="preserve"> requested to</w:t>
      </w:r>
      <w:r w:rsidR="000C278C">
        <w:rPr>
          <w:rFonts w:hint="eastAsia"/>
          <w:lang w:eastAsia="ja-JP"/>
        </w:rPr>
        <w:t xml:space="preserve"> consider the information provided and take action as </w:t>
      </w:r>
      <w:r w:rsidR="0040010A">
        <w:rPr>
          <w:lang w:eastAsia="ja-JP"/>
        </w:rPr>
        <w:t xml:space="preserve">it deems </w:t>
      </w:r>
      <w:r w:rsidR="000C278C">
        <w:rPr>
          <w:rFonts w:hint="eastAsia"/>
          <w:lang w:eastAsia="ja-JP"/>
        </w:rPr>
        <w:t>appropriate.</w:t>
      </w:r>
    </w:p>
    <w:sectPr w:rsidR="000005D3" w:rsidRPr="007A395D" w:rsidSect="0082480E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6233D3C" w14:textId="77777777" w:rsidR="00260FB5" w:rsidRDefault="00260FB5" w:rsidP="00362CD9">
      <w:r>
        <w:separator/>
      </w:r>
    </w:p>
    <w:p w14:paraId="10F0EA3C" w14:textId="77777777" w:rsidR="00260FB5" w:rsidRDefault="00260FB5"/>
    <w:p w14:paraId="0556C58F" w14:textId="77777777" w:rsidR="00260FB5" w:rsidRDefault="00260FB5"/>
  </w:endnote>
  <w:endnote w:type="continuationSeparator" w:id="0">
    <w:p w14:paraId="4398EA28" w14:textId="77777777" w:rsidR="00260FB5" w:rsidRDefault="00260FB5" w:rsidP="00362CD9">
      <w:r>
        <w:continuationSeparator/>
      </w:r>
    </w:p>
    <w:p w14:paraId="5C5BDD84" w14:textId="77777777" w:rsidR="00260FB5" w:rsidRDefault="00260FB5"/>
    <w:p w14:paraId="4B4DFAC0" w14:textId="77777777" w:rsidR="00260FB5" w:rsidRDefault="00260FB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old">
    <w:altName w:val="Arial"/>
    <w:panose1 w:val="020B0704020202020204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BAE1573" w14:textId="77777777" w:rsidR="00260FB5" w:rsidRDefault="00260FB5" w:rsidP="00362CD9">
      <w:r>
        <w:separator/>
      </w:r>
    </w:p>
    <w:p w14:paraId="7079AE5F" w14:textId="77777777" w:rsidR="00260FB5" w:rsidRDefault="00260FB5"/>
    <w:p w14:paraId="07236B4D" w14:textId="77777777" w:rsidR="00260FB5" w:rsidRDefault="00260FB5"/>
  </w:footnote>
  <w:footnote w:type="continuationSeparator" w:id="0">
    <w:p w14:paraId="20A8C662" w14:textId="77777777" w:rsidR="00260FB5" w:rsidRDefault="00260FB5" w:rsidP="00362CD9">
      <w:r>
        <w:continuationSeparator/>
      </w:r>
    </w:p>
    <w:p w14:paraId="05CF6D41" w14:textId="77777777" w:rsidR="00260FB5" w:rsidRDefault="00260FB5"/>
    <w:p w14:paraId="019F0D51" w14:textId="77777777" w:rsidR="00260FB5" w:rsidRDefault="00260FB5"/>
  </w:footnote>
  <w:footnote w:id="1">
    <w:p w14:paraId="448F90FA" w14:textId="77777777" w:rsidR="004D4B1B" w:rsidRPr="007055E4" w:rsidRDefault="004D4B1B">
      <w:pPr>
        <w:pStyle w:val="FootnoteText"/>
        <w:rPr>
          <w:rFonts w:ascii="Calibri" w:hAnsi="Calibri"/>
          <w:lang w:val="en-US"/>
        </w:rPr>
      </w:pPr>
      <w:r w:rsidRPr="007055E4">
        <w:rPr>
          <w:rStyle w:val="FootnoteReference"/>
          <w:rFonts w:ascii="Calibri" w:hAnsi="Calibri"/>
        </w:rPr>
        <w:footnoteRef/>
      </w:r>
      <w:r w:rsidRPr="007055E4">
        <w:rPr>
          <w:rFonts w:ascii="Calibri" w:hAnsi="Calibri"/>
        </w:rPr>
        <w:t xml:space="preserve"> </w:t>
      </w:r>
      <w:r w:rsidRPr="007055E4">
        <w:rPr>
          <w:rFonts w:ascii="Calibri" w:hAnsi="Calibri"/>
          <w:sz w:val="16"/>
          <w:szCs w:val="16"/>
        </w:rPr>
        <w:t>Input document number, to be assigned by the Committee Secretary</w:t>
      </w:r>
    </w:p>
  </w:footnote>
  <w:footnote w:id="2">
    <w:p w14:paraId="52B99FC2" w14:textId="77777777" w:rsidR="004D4B1B" w:rsidRPr="00037DF4" w:rsidRDefault="004D4B1B" w:rsidP="007055E4">
      <w:pPr>
        <w:pStyle w:val="FootnoteText"/>
        <w:ind w:left="113" w:hanging="113"/>
      </w:pPr>
      <w:r w:rsidRPr="007055E4">
        <w:rPr>
          <w:rStyle w:val="FootnoteReference"/>
          <w:rFonts w:ascii="Calibri" w:hAnsi="Calibri"/>
        </w:rPr>
        <w:footnoteRef/>
      </w:r>
      <w:r w:rsidRPr="007055E4">
        <w:rPr>
          <w:rFonts w:ascii="Calibri" w:hAnsi="Calibri"/>
        </w:rPr>
        <w:t xml:space="preserve"> </w:t>
      </w:r>
      <w:r w:rsidRPr="007055E4">
        <w:rPr>
          <w:rFonts w:ascii="Calibri" w:hAnsi="Calibri"/>
          <w:sz w:val="16"/>
          <w:szCs w:val="16"/>
        </w:rPr>
        <w:t xml:space="preserve">Input papers should be assigned to a work task as listed in the </w:t>
      </w:r>
      <w:r>
        <w:rPr>
          <w:rFonts w:ascii="Calibri" w:hAnsi="Calibri"/>
          <w:sz w:val="16"/>
          <w:szCs w:val="16"/>
        </w:rPr>
        <w:t>Committee work plan which is available in  input papers</w:t>
      </w:r>
      <w:r w:rsidRPr="007055E4">
        <w:rPr>
          <w:rFonts w:ascii="Calibri" w:hAnsi="Calibri"/>
          <w:sz w:val="16"/>
          <w:szCs w:val="16"/>
        </w:rPr>
        <w:t>.</w:t>
      </w:r>
      <w:r w:rsidRPr="007055E4">
        <w:rPr>
          <w:rFonts w:ascii="Calibri" w:hAnsi="Calibri"/>
        </w:rPr>
        <w:t xml:space="preserve"> </w:t>
      </w:r>
      <w:r w:rsidRPr="007055E4">
        <w:rPr>
          <w:rFonts w:ascii="Calibri" w:hAnsi="Calibri"/>
          <w:sz w:val="16"/>
          <w:szCs w:val="16"/>
        </w:rPr>
        <w:t>Leave open if uncertain</w:t>
      </w:r>
      <w:r>
        <w:rPr>
          <w:rFonts w:ascii="Calibri" w:hAnsi="Calibri"/>
          <w:sz w:val="16"/>
          <w:szCs w:val="16"/>
        </w:rPr>
        <w:t xml:space="preserve"> but consider how the paper is to be processed if not relevant to a work task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C60C84"/>
    <w:multiLevelType w:val="hybridMultilevel"/>
    <w:tmpl w:val="C0D8A9EA"/>
    <w:lvl w:ilvl="0" w:tplc="04090009">
      <w:start w:val="1"/>
      <w:numFmt w:val="bullet"/>
      <w:lvlText w:val=""/>
      <w:lvlJc w:val="left"/>
      <w:pPr>
        <w:ind w:left="86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20" w:hanging="420"/>
      </w:pPr>
      <w:rPr>
        <w:rFonts w:ascii="Wingdings" w:hAnsi="Wingdings" w:hint="default"/>
      </w:rPr>
    </w:lvl>
  </w:abstractNum>
  <w:abstractNum w:abstractNumId="1" w15:restartNumberingAfterBreak="0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0CD61877"/>
    <w:multiLevelType w:val="hybridMultilevel"/>
    <w:tmpl w:val="A18E6BA8"/>
    <w:lvl w:ilvl="0" w:tplc="C9BA93BC">
      <w:start w:val="1"/>
      <w:numFmt w:val="decimal"/>
      <w:pStyle w:val="Annex"/>
      <w:lvlText w:val="ANNEX %1"/>
      <w:lvlJc w:val="left"/>
      <w:pPr>
        <w:ind w:left="108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800" w:hanging="360"/>
      </w:pPr>
    </w:lvl>
    <w:lvl w:ilvl="2" w:tplc="1809001B" w:tentative="1">
      <w:start w:val="1"/>
      <w:numFmt w:val="lowerRoman"/>
      <w:lvlText w:val="%3."/>
      <w:lvlJc w:val="right"/>
      <w:pPr>
        <w:ind w:left="2520" w:hanging="180"/>
      </w:pPr>
    </w:lvl>
    <w:lvl w:ilvl="3" w:tplc="1809000F" w:tentative="1">
      <w:start w:val="1"/>
      <w:numFmt w:val="decimal"/>
      <w:lvlText w:val="%4."/>
      <w:lvlJc w:val="left"/>
      <w:pPr>
        <w:ind w:left="3240" w:hanging="360"/>
      </w:pPr>
    </w:lvl>
    <w:lvl w:ilvl="4" w:tplc="18090019" w:tentative="1">
      <w:start w:val="1"/>
      <w:numFmt w:val="lowerLetter"/>
      <w:lvlText w:val="%5."/>
      <w:lvlJc w:val="left"/>
      <w:pPr>
        <w:ind w:left="3960" w:hanging="360"/>
      </w:pPr>
    </w:lvl>
    <w:lvl w:ilvl="5" w:tplc="1809001B" w:tentative="1">
      <w:start w:val="1"/>
      <w:numFmt w:val="lowerRoman"/>
      <w:lvlText w:val="%6."/>
      <w:lvlJc w:val="right"/>
      <w:pPr>
        <w:ind w:left="4680" w:hanging="180"/>
      </w:pPr>
    </w:lvl>
    <w:lvl w:ilvl="6" w:tplc="1809000F" w:tentative="1">
      <w:start w:val="1"/>
      <w:numFmt w:val="decimal"/>
      <w:lvlText w:val="%7."/>
      <w:lvlJc w:val="left"/>
      <w:pPr>
        <w:ind w:left="5400" w:hanging="360"/>
      </w:pPr>
    </w:lvl>
    <w:lvl w:ilvl="7" w:tplc="18090019" w:tentative="1">
      <w:start w:val="1"/>
      <w:numFmt w:val="lowerLetter"/>
      <w:lvlText w:val="%8."/>
      <w:lvlJc w:val="left"/>
      <w:pPr>
        <w:ind w:left="6120" w:hanging="360"/>
      </w:pPr>
    </w:lvl>
    <w:lvl w:ilvl="8" w:tplc="1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4A7213"/>
    <w:multiLevelType w:val="hybridMultilevel"/>
    <w:tmpl w:val="0E3C5B08"/>
    <w:lvl w:ilvl="0" w:tplc="6FA0EFA4">
      <w:start w:val="1"/>
      <w:numFmt w:val="decimal"/>
      <w:pStyle w:val="Appendix"/>
      <w:lvlText w:val="APPENDIX %1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C37E91"/>
    <w:multiLevelType w:val="multilevel"/>
    <w:tmpl w:val="80A0E0E0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1E7E01D9"/>
    <w:multiLevelType w:val="multilevel"/>
    <w:tmpl w:val="86F60D0E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1F801811"/>
    <w:multiLevelType w:val="hybridMultilevel"/>
    <w:tmpl w:val="E3A603B2"/>
    <w:lvl w:ilvl="0" w:tplc="AE38227C">
      <w:start w:val="1"/>
      <w:numFmt w:val="bullet"/>
      <w:lvlText w:val=""/>
      <w:lvlJc w:val="left"/>
      <w:pPr>
        <w:ind w:left="86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20" w:hanging="420"/>
      </w:pPr>
      <w:rPr>
        <w:rFonts w:ascii="Wingdings" w:hAnsi="Wingdings" w:hint="default"/>
      </w:rPr>
    </w:lvl>
  </w:abstractNum>
  <w:abstractNum w:abstractNumId="7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8" w15:restartNumberingAfterBreak="0">
    <w:nsid w:val="2F200B38"/>
    <w:multiLevelType w:val="hybridMultilevel"/>
    <w:tmpl w:val="1EF85D18"/>
    <w:lvl w:ilvl="0" w:tplc="184A3E16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3E6B4F5D"/>
    <w:multiLevelType w:val="hybridMultilevel"/>
    <w:tmpl w:val="4596215A"/>
    <w:lvl w:ilvl="0" w:tplc="BEA8DC80">
      <w:start w:val="1"/>
      <w:numFmt w:val="decimal"/>
      <w:pStyle w:val="equation"/>
      <w:lvlText w:val="(equation %1)"/>
      <w:lvlJc w:val="right"/>
      <w:pPr>
        <w:ind w:left="81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 w:tplc="08090019" w:tentative="1">
      <w:start w:val="1"/>
      <w:numFmt w:val="lowerLetter"/>
      <w:lvlText w:val="%2."/>
      <w:lvlJc w:val="left"/>
      <w:pPr>
        <w:ind w:left="8900" w:hanging="360"/>
      </w:pPr>
    </w:lvl>
    <w:lvl w:ilvl="2" w:tplc="0809001B" w:tentative="1">
      <w:start w:val="1"/>
      <w:numFmt w:val="lowerRoman"/>
      <w:lvlText w:val="%3."/>
      <w:lvlJc w:val="right"/>
      <w:pPr>
        <w:ind w:left="9620" w:hanging="180"/>
      </w:pPr>
    </w:lvl>
    <w:lvl w:ilvl="3" w:tplc="0809000F" w:tentative="1">
      <w:start w:val="1"/>
      <w:numFmt w:val="decimal"/>
      <w:lvlText w:val="%4."/>
      <w:lvlJc w:val="left"/>
      <w:pPr>
        <w:ind w:left="10340" w:hanging="360"/>
      </w:pPr>
    </w:lvl>
    <w:lvl w:ilvl="4" w:tplc="08090019" w:tentative="1">
      <w:start w:val="1"/>
      <w:numFmt w:val="lowerLetter"/>
      <w:lvlText w:val="%5."/>
      <w:lvlJc w:val="left"/>
      <w:pPr>
        <w:ind w:left="11060" w:hanging="360"/>
      </w:pPr>
    </w:lvl>
    <w:lvl w:ilvl="5" w:tplc="0809001B" w:tentative="1">
      <w:start w:val="1"/>
      <w:numFmt w:val="lowerRoman"/>
      <w:lvlText w:val="%6."/>
      <w:lvlJc w:val="right"/>
      <w:pPr>
        <w:ind w:left="11780" w:hanging="180"/>
      </w:pPr>
    </w:lvl>
    <w:lvl w:ilvl="6" w:tplc="0809000F" w:tentative="1">
      <w:start w:val="1"/>
      <w:numFmt w:val="decimal"/>
      <w:lvlText w:val="%7."/>
      <w:lvlJc w:val="left"/>
      <w:pPr>
        <w:ind w:left="12500" w:hanging="360"/>
      </w:pPr>
    </w:lvl>
    <w:lvl w:ilvl="7" w:tplc="08090019" w:tentative="1">
      <w:start w:val="1"/>
      <w:numFmt w:val="lowerLetter"/>
      <w:lvlText w:val="%8."/>
      <w:lvlJc w:val="left"/>
      <w:pPr>
        <w:ind w:left="13220" w:hanging="360"/>
      </w:pPr>
    </w:lvl>
    <w:lvl w:ilvl="8" w:tplc="0809001B" w:tentative="1">
      <w:start w:val="1"/>
      <w:numFmt w:val="lowerRoman"/>
      <w:lvlText w:val="%9."/>
      <w:lvlJc w:val="right"/>
      <w:pPr>
        <w:ind w:left="13940" w:hanging="180"/>
      </w:pPr>
    </w:lvl>
  </w:abstractNum>
  <w:abstractNum w:abstractNumId="11" w15:restartNumberingAfterBreak="0">
    <w:nsid w:val="43FF538A"/>
    <w:multiLevelType w:val="hybridMultilevel"/>
    <w:tmpl w:val="2440EE2C"/>
    <w:lvl w:ilvl="0" w:tplc="0409000B">
      <w:start w:val="1"/>
      <w:numFmt w:val="bullet"/>
      <w:lvlText w:val=""/>
      <w:lvlJc w:val="left"/>
      <w:pPr>
        <w:ind w:left="86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20" w:hanging="420"/>
      </w:pPr>
      <w:rPr>
        <w:rFonts w:ascii="Wingdings" w:hAnsi="Wingdings" w:hint="default"/>
      </w:rPr>
    </w:lvl>
  </w:abstractNum>
  <w:abstractNum w:abstractNumId="12" w15:restartNumberingAfterBreak="0">
    <w:nsid w:val="44041789"/>
    <w:multiLevelType w:val="multilevel"/>
    <w:tmpl w:val="B1B61DA8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 w15:restartNumberingAfterBreak="0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A8C31DD"/>
    <w:multiLevelType w:val="hybridMultilevel"/>
    <w:tmpl w:val="96FA7F2A"/>
    <w:lvl w:ilvl="0" w:tplc="156C502E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6" w15:restartNumberingAfterBreak="0">
    <w:nsid w:val="4BC63137"/>
    <w:multiLevelType w:val="hybridMultilevel"/>
    <w:tmpl w:val="09CA0DE6"/>
    <w:lvl w:ilvl="0" w:tplc="7ED42558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51B55D23"/>
    <w:multiLevelType w:val="multilevel"/>
    <w:tmpl w:val="7722CFAE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5FE32B0"/>
    <w:multiLevelType w:val="hybridMultilevel"/>
    <w:tmpl w:val="67B4D094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>
      <w:start w:val="1"/>
      <w:numFmt w:val="lowerLetter"/>
      <w:lvlText w:val="%2."/>
      <w:lvlJc w:val="left"/>
      <w:pPr>
        <w:ind w:left="1777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34C1CBF"/>
    <w:multiLevelType w:val="singleLevel"/>
    <w:tmpl w:val="DED8B7D0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0" w15:restartNumberingAfterBreak="0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3DA33D8"/>
    <w:multiLevelType w:val="hybridMultilevel"/>
    <w:tmpl w:val="4232E4F4"/>
    <w:lvl w:ilvl="0" w:tplc="DE3E8DF8">
      <w:start w:val="1"/>
      <w:numFmt w:val="decimal"/>
      <w:pStyle w:val="Heading1"/>
      <w:lvlText w:val="%1"/>
      <w:lvlJc w:val="center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"/>
  </w:num>
  <w:num w:numId="3">
    <w:abstractNumId w:val="20"/>
  </w:num>
  <w:num w:numId="4">
    <w:abstractNumId w:val="9"/>
  </w:num>
  <w:num w:numId="5">
    <w:abstractNumId w:val="7"/>
  </w:num>
  <w:num w:numId="6">
    <w:abstractNumId w:val="16"/>
  </w:num>
  <w:num w:numId="7">
    <w:abstractNumId w:val="15"/>
  </w:num>
  <w:num w:numId="8">
    <w:abstractNumId w:val="19"/>
  </w:num>
  <w:num w:numId="9">
    <w:abstractNumId w:val="5"/>
  </w:num>
  <w:num w:numId="10">
    <w:abstractNumId w:val="17"/>
  </w:num>
  <w:num w:numId="11">
    <w:abstractNumId w:val="12"/>
  </w:num>
  <w:num w:numId="12">
    <w:abstractNumId w:val="10"/>
  </w:num>
  <w:num w:numId="13">
    <w:abstractNumId w:val="4"/>
  </w:num>
  <w:num w:numId="14">
    <w:abstractNumId w:val="13"/>
  </w:num>
  <w:num w:numId="15">
    <w:abstractNumId w:val="21"/>
  </w:num>
  <w:num w:numId="16">
    <w:abstractNumId w:val="2"/>
  </w:num>
  <w:num w:numId="17">
    <w:abstractNumId w:val="3"/>
  </w:num>
  <w:num w:numId="18">
    <w:abstractNumId w:val="6"/>
  </w:num>
  <w:num w:numId="19">
    <w:abstractNumId w:val="0"/>
  </w:num>
  <w:num w:numId="20">
    <w:abstractNumId w:val="11"/>
  </w:num>
  <w:num w:numId="21">
    <w:abstractNumId w:val="8"/>
  </w:num>
  <w:num w:numId="22">
    <w:abstractNumId w:val="18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bordersDoNotSurroundHeader/>
  <w:bordersDoNotSurroundFooter/>
  <w:proofState w:spelling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5674"/>
    <w:rsid w:val="000005D3"/>
    <w:rsid w:val="000049D8"/>
    <w:rsid w:val="00021057"/>
    <w:rsid w:val="00035E32"/>
    <w:rsid w:val="00036B9E"/>
    <w:rsid w:val="00037DF4"/>
    <w:rsid w:val="00041773"/>
    <w:rsid w:val="00045727"/>
    <w:rsid w:val="0004700E"/>
    <w:rsid w:val="000650CD"/>
    <w:rsid w:val="00070C13"/>
    <w:rsid w:val="000715C9"/>
    <w:rsid w:val="00075339"/>
    <w:rsid w:val="00084F33"/>
    <w:rsid w:val="000A77A7"/>
    <w:rsid w:val="000B1707"/>
    <w:rsid w:val="000C1B3E"/>
    <w:rsid w:val="000C1EDA"/>
    <w:rsid w:val="000C278C"/>
    <w:rsid w:val="000C67BA"/>
    <w:rsid w:val="000C7705"/>
    <w:rsid w:val="000D3881"/>
    <w:rsid w:val="000F4BC1"/>
    <w:rsid w:val="001016E8"/>
    <w:rsid w:val="0010585B"/>
    <w:rsid w:val="00110AE7"/>
    <w:rsid w:val="00126B79"/>
    <w:rsid w:val="00127DB0"/>
    <w:rsid w:val="00137240"/>
    <w:rsid w:val="001624E8"/>
    <w:rsid w:val="001738F7"/>
    <w:rsid w:val="00177F4D"/>
    <w:rsid w:val="00180DDA"/>
    <w:rsid w:val="001B2A2D"/>
    <w:rsid w:val="001B737D"/>
    <w:rsid w:val="001B73EC"/>
    <w:rsid w:val="001C44A3"/>
    <w:rsid w:val="001C7BE2"/>
    <w:rsid w:val="001E0E15"/>
    <w:rsid w:val="001F528A"/>
    <w:rsid w:val="001F704E"/>
    <w:rsid w:val="00201722"/>
    <w:rsid w:val="002125B0"/>
    <w:rsid w:val="00243228"/>
    <w:rsid w:val="00251483"/>
    <w:rsid w:val="00255CAA"/>
    <w:rsid w:val="00257B20"/>
    <w:rsid w:val="002608E2"/>
    <w:rsid w:val="00260FB5"/>
    <w:rsid w:val="00264305"/>
    <w:rsid w:val="00265CED"/>
    <w:rsid w:val="00266C83"/>
    <w:rsid w:val="00280E21"/>
    <w:rsid w:val="002974EA"/>
    <w:rsid w:val="002A0346"/>
    <w:rsid w:val="002A4487"/>
    <w:rsid w:val="002B49E9"/>
    <w:rsid w:val="002C632E"/>
    <w:rsid w:val="002D0FEE"/>
    <w:rsid w:val="002D3DC4"/>
    <w:rsid w:val="002D3E8B"/>
    <w:rsid w:val="002D4379"/>
    <w:rsid w:val="002D4575"/>
    <w:rsid w:val="002D5C0C"/>
    <w:rsid w:val="002E03D1"/>
    <w:rsid w:val="002E6B74"/>
    <w:rsid w:val="002E6FCA"/>
    <w:rsid w:val="0031115D"/>
    <w:rsid w:val="003336CC"/>
    <w:rsid w:val="00356954"/>
    <w:rsid w:val="00356CD0"/>
    <w:rsid w:val="003577DE"/>
    <w:rsid w:val="00362CD9"/>
    <w:rsid w:val="003761CA"/>
    <w:rsid w:val="00380DAF"/>
    <w:rsid w:val="00394640"/>
    <w:rsid w:val="00397170"/>
    <w:rsid w:val="003972CE"/>
    <w:rsid w:val="003A097D"/>
    <w:rsid w:val="003A780C"/>
    <w:rsid w:val="003B28F5"/>
    <w:rsid w:val="003B4691"/>
    <w:rsid w:val="003B69E3"/>
    <w:rsid w:val="003B7B7D"/>
    <w:rsid w:val="003C54CB"/>
    <w:rsid w:val="003C7A2A"/>
    <w:rsid w:val="003D2DC1"/>
    <w:rsid w:val="003D69D0"/>
    <w:rsid w:val="003F2918"/>
    <w:rsid w:val="003F430E"/>
    <w:rsid w:val="0040010A"/>
    <w:rsid w:val="0041088C"/>
    <w:rsid w:val="0041336C"/>
    <w:rsid w:val="00420A38"/>
    <w:rsid w:val="00431B19"/>
    <w:rsid w:val="004520B3"/>
    <w:rsid w:val="0046005E"/>
    <w:rsid w:val="004661AD"/>
    <w:rsid w:val="004737B9"/>
    <w:rsid w:val="004B12BB"/>
    <w:rsid w:val="004C12F7"/>
    <w:rsid w:val="004D1D85"/>
    <w:rsid w:val="004D3C3A"/>
    <w:rsid w:val="004D4B1B"/>
    <w:rsid w:val="004E1CD1"/>
    <w:rsid w:val="004F37DC"/>
    <w:rsid w:val="004F493E"/>
    <w:rsid w:val="005107EB"/>
    <w:rsid w:val="00521345"/>
    <w:rsid w:val="00524FAB"/>
    <w:rsid w:val="005262A5"/>
    <w:rsid w:val="00526DF0"/>
    <w:rsid w:val="00530E5B"/>
    <w:rsid w:val="00545CC4"/>
    <w:rsid w:val="00551FFF"/>
    <w:rsid w:val="00557AFE"/>
    <w:rsid w:val="005607A2"/>
    <w:rsid w:val="005622DA"/>
    <w:rsid w:val="0057198B"/>
    <w:rsid w:val="00572ECC"/>
    <w:rsid w:val="00573CFE"/>
    <w:rsid w:val="005969F2"/>
    <w:rsid w:val="00597FAE"/>
    <w:rsid w:val="005B32A3"/>
    <w:rsid w:val="005B7A6E"/>
    <w:rsid w:val="005C0D44"/>
    <w:rsid w:val="005C566C"/>
    <w:rsid w:val="005C7E69"/>
    <w:rsid w:val="005D4961"/>
    <w:rsid w:val="005E262D"/>
    <w:rsid w:val="005F23D3"/>
    <w:rsid w:val="005F7E20"/>
    <w:rsid w:val="00603653"/>
    <w:rsid w:val="00603D41"/>
    <w:rsid w:val="00605E43"/>
    <w:rsid w:val="006153BB"/>
    <w:rsid w:val="00650B50"/>
    <w:rsid w:val="00650B5D"/>
    <w:rsid w:val="006529C7"/>
    <w:rsid w:val="006652C3"/>
    <w:rsid w:val="00677FAA"/>
    <w:rsid w:val="00681DFF"/>
    <w:rsid w:val="00691FD0"/>
    <w:rsid w:val="00692148"/>
    <w:rsid w:val="006A1A1E"/>
    <w:rsid w:val="006A35F1"/>
    <w:rsid w:val="006A7E45"/>
    <w:rsid w:val="006A7F74"/>
    <w:rsid w:val="006B2577"/>
    <w:rsid w:val="006C5948"/>
    <w:rsid w:val="006F2A74"/>
    <w:rsid w:val="006F4F07"/>
    <w:rsid w:val="00701FB3"/>
    <w:rsid w:val="0070405E"/>
    <w:rsid w:val="007055E4"/>
    <w:rsid w:val="007118F5"/>
    <w:rsid w:val="00712AA4"/>
    <w:rsid w:val="007146C4"/>
    <w:rsid w:val="00721AA1"/>
    <w:rsid w:val="00724B67"/>
    <w:rsid w:val="00747B5E"/>
    <w:rsid w:val="007547F8"/>
    <w:rsid w:val="00755849"/>
    <w:rsid w:val="00765622"/>
    <w:rsid w:val="00770B6C"/>
    <w:rsid w:val="00783FEA"/>
    <w:rsid w:val="007A395D"/>
    <w:rsid w:val="007B21E5"/>
    <w:rsid w:val="007B6EC9"/>
    <w:rsid w:val="007C346C"/>
    <w:rsid w:val="007D7171"/>
    <w:rsid w:val="007E09BC"/>
    <w:rsid w:val="007F0CD4"/>
    <w:rsid w:val="0080294B"/>
    <w:rsid w:val="00822FE5"/>
    <w:rsid w:val="00823AAA"/>
    <w:rsid w:val="0082480E"/>
    <w:rsid w:val="00837923"/>
    <w:rsid w:val="008456CE"/>
    <w:rsid w:val="00850293"/>
    <w:rsid w:val="00851373"/>
    <w:rsid w:val="00851BA6"/>
    <w:rsid w:val="0085654D"/>
    <w:rsid w:val="00860D67"/>
    <w:rsid w:val="00861160"/>
    <w:rsid w:val="0086654F"/>
    <w:rsid w:val="00875CB4"/>
    <w:rsid w:val="00880CD5"/>
    <w:rsid w:val="008A356F"/>
    <w:rsid w:val="008A4653"/>
    <w:rsid w:val="008A4717"/>
    <w:rsid w:val="008A50CC"/>
    <w:rsid w:val="008B2E27"/>
    <w:rsid w:val="008B485F"/>
    <w:rsid w:val="008B71A4"/>
    <w:rsid w:val="008C0003"/>
    <w:rsid w:val="008D1694"/>
    <w:rsid w:val="008D4339"/>
    <w:rsid w:val="008D79CB"/>
    <w:rsid w:val="008F07BC"/>
    <w:rsid w:val="009165C0"/>
    <w:rsid w:val="0092692B"/>
    <w:rsid w:val="0093354F"/>
    <w:rsid w:val="00943E9C"/>
    <w:rsid w:val="00953F4D"/>
    <w:rsid w:val="00960BB8"/>
    <w:rsid w:val="009637AF"/>
    <w:rsid w:val="00964F5C"/>
    <w:rsid w:val="009773EF"/>
    <w:rsid w:val="009831C0"/>
    <w:rsid w:val="0099161D"/>
    <w:rsid w:val="009B0CBF"/>
    <w:rsid w:val="009B5263"/>
    <w:rsid w:val="00A0389B"/>
    <w:rsid w:val="00A21AA9"/>
    <w:rsid w:val="00A24AA5"/>
    <w:rsid w:val="00A2685C"/>
    <w:rsid w:val="00A33AE9"/>
    <w:rsid w:val="00A35999"/>
    <w:rsid w:val="00A446C9"/>
    <w:rsid w:val="00A4725E"/>
    <w:rsid w:val="00A635D6"/>
    <w:rsid w:val="00A830A4"/>
    <w:rsid w:val="00A8553A"/>
    <w:rsid w:val="00A930C1"/>
    <w:rsid w:val="00A93AED"/>
    <w:rsid w:val="00AB05B2"/>
    <w:rsid w:val="00AE1319"/>
    <w:rsid w:val="00AE144D"/>
    <w:rsid w:val="00AE34BB"/>
    <w:rsid w:val="00B226F2"/>
    <w:rsid w:val="00B274DF"/>
    <w:rsid w:val="00B56BDF"/>
    <w:rsid w:val="00B5785C"/>
    <w:rsid w:val="00B65812"/>
    <w:rsid w:val="00B83389"/>
    <w:rsid w:val="00B85CD6"/>
    <w:rsid w:val="00B86C0E"/>
    <w:rsid w:val="00B90A27"/>
    <w:rsid w:val="00B920B6"/>
    <w:rsid w:val="00B9554D"/>
    <w:rsid w:val="00BB2B9F"/>
    <w:rsid w:val="00BB7D9E"/>
    <w:rsid w:val="00BC2334"/>
    <w:rsid w:val="00BD3CB8"/>
    <w:rsid w:val="00BD4E6F"/>
    <w:rsid w:val="00BD57A3"/>
    <w:rsid w:val="00BF32F0"/>
    <w:rsid w:val="00BF4DCE"/>
    <w:rsid w:val="00C01B3C"/>
    <w:rsid w:val="00C038A5"/>
    <w:rsid w:val="00C05CE5"/>
    <w:rsid w:val="00C4319D"/>
    <w:rsid w:val="00C57E25"/>
    <w:rsid w:val="00C6171E"/>
    <w:rsid w:val="00C86984"/>
    <w:rsid w:val="00CA6F2C"/>
    <w:rsid w:val="00CB2787"/>
    <w:rsid w:val="00CC2DCC"/>
    <w:rsid w:val="00CC6E6E"/>
    <w:rsid w:val="00CD71E7"/>
    <w:rsid w:val="00CF1871"/>
    <w:rsid w:val="00D019CE"/>
    <w:rsid w:val="00D1133E"/>
    <w:rsid w:val="00D1390D"/>
    <w:rsid w:val="00D143F1"/>
    <w:rsid w:val="00D17A34"/>
    <w:rsid w:val="00D26628"/>
    <w:rsid w:val="00D305F8"/>
    <w:rsid w:val="00D332B3"/>
    <w:rsid w:val="00D55207"/>
    <w:rsid w:val="00D65081"/>
    <w:rsid w:val="00D6665D"/>
    <w:rsid w:val="00D81801"/>
    <w:rsid w:val="00D83E3C"/>
    <w:rsid w:val="00D84A7F"/>
    <w:rsid w:val="00D92B45"/>
    <w:rsid w:val="00D95962"/>
    <w:rsid w:val="00D97A43"/>
    <w:rsid w:val="00DB1CB5"/>
    <w:rsid w:val="00DB3F2B"/>
    <w:rsid w:val="00DC389B"/>
    <w:rsid w:val="00DC501E"/>
    <w:rsid w:val="00DC58BA"/>
    <w:rsid w:val="00DE2FEE"/>
    <w:rsid w:val="00DF5F76"/>
    <w:rsid w:val="00E00BE9"/>
    <w:rsid w:val="00E22A11"/>
    <w:rsid w:val="00E31E5C"/>
    <w:rsid w:val="00E44DD2"/>
    <w:rsid w:val="00E558C3"/>
    <w:rsid w:val="00E55927"/>
    <w:rsid w:val="00E55BC2"/>
    <w:rsid w:val="00E7711A"/>
    <w:rsid w:val="00E912A6"/>
    <w:rsid w:val="00E97303"/>
    <w:rsid w:val="00EA4844"/>
    <w:rsid w:val="00EA4D9C"/>
    <w:rsid w:val="00EA5A97"/>
    <w:rsid w:val="00EB75EE"/>
    <w:rsid w:val="00EC0DB9"/>
    <w:rsid w:val="00EC4881"/>
    <w:rsid w:val="00ED36FD"/>
    <w:rsid w:val="00EE403F"/>
    <w:rsid w:val="00EE4C1D"/>
    <w:rsid w:val="00EF3685"/>
    <w:rsid w:val="00F04350"/>
    <w:rsid w:val="00F133DB"/>
    <w:rsid w:val="00F159EB"/>
    <w:rsid w:val="00F25BF4"/>
    <w:rsid w:val="00F267DB"/>
    <w:rsid w:val="00F36489"/>
    <w:rsid w:val="00F46F6F"/>
    <w:rsid w:val="00F51C0C"/>
    <w:rsid w:val="00F60608"/>
    <w:rsid w:val="00F62217"/>
    <w:rsid w:val="00FB17A9"/>
    <w:rsid w:val="00FB527C"/>
    <w:rsid w:val="00FB6F75"/>
    <w:rsid w:val="00FC0EB3"/>
    <w:rsid w:val="00FD28A8"/>
    <w:rsid w:val="00FD675E"/>
    <w:rsid w:val="00FE5674"/>
    <w:rsid w:val="00FF4C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2908A478"/>
  <w15:docId w15:val="{5C6A2C6A-C3FE-40CD-9EDD-443EB83B98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Theme="minorEastAsia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0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ED36FD"/>
    <w:pPr>
      <w:keepNext/>
      <w:numPr>
        <w:numId w:val="15"/>
      </w:numPr>
      <w:spacing w:before="240" w:after="240"/>
      <w:ind w:left="357" w:hanging="357"/>
      <w:outlineLvl w:val="0"/>
    </w:pPr>
    <w:rPr>
      <w:rFonts w:ascii="Calibri" w:hAnsi="Calibri"/>
      <w:b/>
      <w:caps/>
      <w:color w:val="0070C0"/>
      <w:kern w:val="28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605E43"/>
    <w:pPr>
      <w:numPr>
        <w:ilvl w:val="1"/>
        <w:numId w:val="13"/>
      </w:numPr>
      <w:spacing w:before="120" w:after="120"/>
      <w:outlineLvl w:val="1"/>
    </w:pPr>
    <w:rPr>
      <w:rFonts w:ascii="Calibri" w:hAnsi="Calibri"/>
      <w:b/>
      <w:color w:val="0070C0"/>
      <w:sz w:val="24"/>
      <w:szCs w:val="24"/>
    </w:rPr>
  </w:style>
  <w:style w:type="paragraph" w:styleId="Heading3">
    <w:name w:val="heading 3"/>
    <w:basedOn w:val="Normal"/>
    <w:next w:val="BodyText"/>
    <w:link w:val="Heading3Char"/>
    <w:qFormat/>
    <w:rsid w:val="00F36489"/>
    <w:pPr>
      <w:keepNext/>
      <w:numPr>
        <w:ilvl w:val="2"/>
        <w:numId w:val="13"/>
      </w:numPr>
      <w:spacing w:before="120" w:after="120"/>
      <w:outlineLvl w:val="2"/>
    </w:pPr>
    <w:rPr>
      <w:rFonts w:asciiTheme="minorHAnsi" w:hAnsiTheme="minorHAnsi"/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13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13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13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13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13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13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ED36FD"/>
    <w:rPr>
      <w:rFonts w:cs="Calibri"/>
      <w:b/>
      <w:caps/>
      <w:color w:val="0070C0"/>
      <w:kern w:val="28"/>
      <w:sz w:val="22"/>
      <w:szCs w:val="22"/>
      <w:lang w:eastAsia="de-DE"/>
    </w:rPr>
  </w:style>
  <w:style w:type="character" w:customStyle="1" w:styleId="Heading2Char">
    <w:name w:val="Heading 2 Char"/>
    <w:link w:val="Heading2"/>
    <w:rsid w:val="00605E43"/>
    <w:rPr>
      <w:rFonts w:cs="Calibri"/>
      <w:b/>
      <w:color w:val="0070C0"/>
      <w:sz w:val="24"/>
      <w:szCs w:val="24"/>
    </w:rPr>
  </w:style>
  <w:style w:type="paragraph" w:customStyle="1" w:styleId="Annex">
    <w:name w:val="Annex"/>
    <w:basedOn w:val="Heading1"/>
    <w:next w:val="BodyText"/>
    <w:link w:val="AnnexChar"/>
    <w:qFormat/>
    <w:rsid w:val="00681DFF"/>
    <w:pPr>
      <w:numPr>
        <w:numId w:val="16"/>
      </w:numPr>
      <w:tabs>
        <w:tab w:val="left" w:pos="1701"/>
      </w:tabs>
      <w:jc w:val="both"/>
    </w:pPr>
    <w:rPr>
      <w:caps w:val="0"/>
      <w:snapToGrid w:val="0"/>
      <w:color w:val="00558C"/>
      <w:kern w:val="0"/>
      <w:sz w:val="24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1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93354F"/>
    <w:pPr>
      <w:numPr>
        <w:numId w:val="2"/>
      </w:numPr>
      <w:spacing w:before="120" w:after="120"/>
    </w:pPr>
    <w:rPr>
      <w:rFonts w:ascii="Arial Bold" w:hAnsi="Arial Bold" w:cs="Arial"/>
      <w:b/>
      <w:caps/>
      <w:color w:val="00558C"/>
    </w:rPr>
  </w:style>
  <w:style w:type="paragraph" w:customStyle="1" w:styleId="AnnexHeading2">
    <w:name w:val="Annex Heading 2"/>
    <w:basedOn w:val="Normal"/>
    <w:next w:val="BodyText"/>
    <w:rsid w:val="00A35999"/>
    <w:pPr>
      <w:numPr>
        <w:ilvl w:val="1"/>
        <w:numId w:val="2"/>
      </w:numPr>
      <w:spacing w:before="120" w:after="120"/>
    </w:pPr>
    <w:rPr>
      <w:rFonts w:ascii="Arial Bold" w:hAnsi="Arial Bold" w:cs="Arial"/>
      <w:b/>
      <w:color w:val="00558C"/>
    </w:rPr>
  </w:style>
  <w:style w:type="paragraph" w:customStyle="1" w:styleId="AnnexHeading3">
    <w:name w:val="Annex Heading 3"/>
    <w:basedOn w:val="Normal"/>
    <w:next w:val="Normal"/>
    <w:rsid w:val="00A35999"/>
    <w:pPr>
      <w:numPr>
        <w:ilvl w:val="2"/>
        <w:numId w:val="2"/>
      </w:numPr>
      <w:spacing w:before="120" w:after="120"/>
    </w:pPr>
    <w:rPr>
      <w:rFonts w:cs="Arial"/>
      <w:color w:val="00558C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2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3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F36489"/>
    <w:pPr>
      <w:spacing w:after="120"/>
      <w:jc w:val="both"/>
    </w:pPr>
    <w:rPr>
      <w:rFonts w:ascii="Calibri" w:hAnsi="Calibri"/>
    </w:rPr>
  </w:style>
  <w:style w:type="character" w:customStyle="1" w:styleId="BodyTextChar">
    <w:name w:val="Body Text Char"/>
    <w:link w:val="BodyText"/>
    <w:rsid w:val="00F36489"/>
    <w:rPr>
      <w:rFonts w:cs="Calibri"/>
      <w:sz w:val="22"/>
      <w:szCs w:val="22"/>
    </w:rPr>
  </w:style>
  <w:style w:type="paragraph" w:customStyle="1" w:styleId="Bullet1">
    <w:name w:val="Bullet 1"/>
    <w:basedOn w:val="Normal"/>
    <w:qFormat/>
    <w:rsid w:val="00F36489"/>
    <w:pPr>
      <w:numPr>
        <w:numId w:val="6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asciiTheme="minorHAnsi" w:hAnsiTheme="minorHAnsi"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F36489"/>
    <w:pPr>
      <w:numPr>
        <w:numId w:val="7"/>
      </w:numPr>
      <w:tabs>
        <w:tab w:val="left" w:pos="1701"/>
      </w:tabs>
      <w:spacing w:after="120"/>
      <w:ind w:left="1701" w:hanging="567"/>
      <w:jc w:val="both"/>
    </w:pPr>
    <w:rPr>
      <w:rFonts w:asciiTheme="minorHAnsi" w:hAnsiTheme="minorHAnsi"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14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F36489"/>
    <w:pPr>
      <w:numPr>
        <w:numId w:val="8"/>
      </w:numPr>
      <w:spacing w:before="120" w:after="120"/>
      <w:jc w:val="center"/>
    </w:pPr>
    <w:rPr>
      <w:rFonts w:asciiTheme="minorHAnsi" w:hAnsiTheme="minorHAnsi"/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F36489"/>
    <w:rPr>
      <w:rFonts w:asciiTheme="minorHAnsi" w:hAnsiTheme="minorHAnsi" w:cs="Calibri"/>
      <w:sz w:val="22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 w:val="22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/>
      <w:sz w:val="22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 w:val="22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 w:val="22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 w:val="22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 w:val="22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F36489"/>
    <w:pPr>
      <w:numPr>
        <w:numId w:val="11"/>
      </w:numPr>
      <w:spacing w:after="120"/>
      <w:jc w:val="both"/>
    </w:pPr>
    <w:rPr>
      <w:rFonts w:asciiTheme="minorHAnsi" w:eastAsia="MS Mincho" w:hAnsiTheme="minorHAnsi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11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F36489"/>
    <w:pPr>
      <w:numPr>
        <w:numId w:val="10"/>
      </w:numPr>
      <w:spacing w:before="120" w:after="120"/>
      <w:jc w:val="center"/>
    </w:pPr>
    <w:rPr>
      <w:rFonts w:asciiTheme="minorHAnsi" w:hAnsiTheme="minorHAnsi"/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5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F36489"/>
    <w:pPr>
      <w:spacing w:after="60"/>
      <w:jc w:val="center"/>
      <w:outlineLvl w:val="1"/>
    </w:pPr>
    <w:rPr>
      <w:rFonts w:asciiTheme="minorHAnsi" w:hAnsiTheme="minorHAnsi" w:cs="Arial"/>
    </w:rPr>
  </w:style>
  <w:style w:type="character" w:customStyle="1" w:styleId="SubtitleChar">
    <w:name w:val="Subtitle Char"/>
    <w:link w:val="Subtitle"/>
    <w:rsid w:val="00F36489"/>
    <w:rPr>
      <w:rFonts w:asciiTheme="minorHAnsi" w:hAnsiTheme="minorHAnsi" w:cs="Arial"/>
      <w:sz w:val="22"/>
      <w:szCs w:val="22"/>
    </w:rPr>
  </w:style>
  <w:style w:type="paragraph" w:styleId="Title">
    <w:name w:val="Title"/>
    <w:basedOn w:val="Normal"/>
    <w:link w:val="TitleChar"/>
    <w:qFormat/>
    <w:rsid w:val="00F36489"/>
    <w:pPr>
      <w:spacing w:before="120" w:after="240"/>
      <w:jc w:val="center"/>
      <w:outlineLvl w:val="0"/>
    </w:pPr>
    <w:rPr>
      <w:rFonts w:asciiTheme="minorHAnsi" w:hAnsiTheme="minorHAnsi"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F36489"/>
    <w:rPr>
      <w:rFonts w:asciiTheme="minorHAnsi" w:hAnsiTheme="minorHAnsi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11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F36489"/>
    <w:pPr>
      <w:numPr>
        <w:numId w:val="9"/>
      </w:numPr>
      <w:spacing w:after="120"/>
    </w:pPr>
    <w:rPr>
      <w:rFonts w:asciiTheme="minorHAnsi" w:hAnsiTheme="minorHAnsi"/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4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4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4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4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F36489"/>
    <w:pPr>
      <w:keepNext/>
      <w:numPr>
        <w:numId w:val="12"/>
      </w:numPr>
      <w:tabs>
        <w:tab w:val="left" w:pos="142"/>
      </w:tabs>
      <w:spacing w:after="120"/>
      <w:jc w:val="right"/>
    </w:pPr>
    <w:rPr>
      <w:rFonts w:asciiTheme="minorHAnsi" w:eastAsia="Times New Roman" w:hAnsiTheme="minorHAnsi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ppendix">
    <w:name w:val="Appendix"/>
    <w:basedOn w:val="Normal"/>
    <w:next w:val="Normal"/>
    <w:qFormat/>
    <w:rsid w:val="004D4B1B"/>
    <w:pPr>
      <w:numPr>
        <w:numId w:val="17"/>
      </w:numPr>
      <w:spacing w:before="120" w:after="240"/>
    </w:pPr>
    <w:rPr>
      <w:rFonts w:ascii="Calibri" w:hAnsi="Calibri"/>
      <w:b/>
      <w:caps/>
      <w:color w:val="00558C"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A97"/>
    <w:rPr>
      <w:rFonts w:ascii="Arial" w:hAnsi="Arial" w:cs="Calibri"/>
      <w:b/>
      <w:bCs/>
    </w:rPr>
  </w:style>
  <w:style w:type="paragraph" w:styleId="Quote">
    <w:name w:val="Quote"/>
    <w:basedOn w:val="Normal"/>
    <w:next w:val="Normal"/>
    <w:link w:val="QuoteChar"/>
    <w:qFormat/>
    <w:rsid w:val="00F36489"/>
    <w:pPr>
      <w:spacing w:before="200" w:after="160"/>
      <w:ind w:left="864" w:right="864"/>
      <w:jc w:val="center"/>
    </w:pPr>
    <w:rPr>
      <w:rFonts w:asciiTheme="minorHAnsi" w:hAnsiTheme="minorHAnsi"/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rsid w:val="00F36489"/>
    <w:rPr>
      <w:rFonts w:asciiTheme="minorHAnsi" w:hAnsiTheme="minorHAnsi" w:cs="Calibri"/>
      <w:i/>
      <w:iCs/>
      <w:color w:val="404040" w:themeColor="text1" w:themeTint="BF"/>
      <w:sz w:val="22"/>
      <w:szCs w:val="22"/>
    </w:rPr>
  </w:style>
  <w:style w:type="character" w:customStyle="1" w:styleId="AnnexChar">
    <w:name w:val="Annex Char"/>
    <w:basedOn w:val="DefaultParagraphFont"/>
    <w:link w:val="Annex"/>
    <w:rsid w:val="00681DFF"/>
    <w:rPr>
      <w:rFonts w:cs="Calibri"/>
      <w:b/>
      <w:snapToGrid w:val="0"/>
      <w:color w:val="00558C"/>
      <w:sz w:val="24"/>
      <w:szCs w:val="22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DB1CB5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DB1CB5"/>
    <w:rPr>
      <w:rFonts w:ascii="Arial" w:hAnsi="Arial" w:cs="Calibri"/>
    </w:rPr>
  </w:style>
  <w:style w:type="character" w:styleId="EndnoteReference">
    <w:name w:val="endnote reference"/>
    <w:basedOn w:val="DefaultParagraphFont"/>
    <w:uiPriority w:val="99"/>
    <w:semiHidden/>
    <w:unhideWhenUsed/>
    <w:rsid w:val="00DB1CB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1FBEB7-1721-4423-9DAF-7561E20CFB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991</Words>
  <Characters>5652</Characters>
  <Application>Microsoft Office Word</Application>
  <DocSecurity>4</DocSecurity>
  <Lines>47</Lines>
  <Paragraphs>13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JCG-MTD</Company>
  <LinksUpToDate>false</LinksUpToDate>
  <CharactersWithSpaces>6630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seamus.doyle@iala-aism.org</dc:creator>
  <cp:lastModifiedBy>Tom Southall</cp:lastModifiedBy>
  <cp:revision>2</cp:revision>
  <dcterms:created xsi:type="dcterms:W3CDTF">2019-02-11T15:54:00Z</dcterms:created>
  <dcterms:modified xsi:type="dcterms:W3CDTF">2019-02-11T15:54:00Z</dcterms:modified>
</cp:coreProperties>
</file>